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AFB70" w14:textId="70C75915" w:rsidR="009909E8" w:rsidRPr="00F53D05" w:rsidRDefault="00384FD3" w:rsidP="009909E8">
      <w:pPr>
        <w:rPr>
          <w:rFonts w:ascii="Times New Roman" w:hAnsi="Times New Roman" w:cs="Times New Roman"/>
          <w:b/>
          <w:sz w:val="24"/>
          <w:szCs w:val="24"/>
        </w:rPr>
      </w:pPr>
      <w:r w:rsidRPr="00F53D05">
        <w:rPr>
          <w:rFonts w:ascii="Times New Roman" w:hAnsi="Times New Roman" w:cs="Times New Roman"/>
          <w:b/>
          <w:sz w:val="24"/>
          <w:szCs w:val="24"/>
        </w:rPr>
        <w:t>GENERAL INFORMATION</w:t>
      </w:r>
    </w:p>
    <w:p w14:paraId="6A1CC2B0" w14:textId="77777777" w:rsidR="009909E8" w:rsidRPr="00F53D05" w:rsidRDefault="009909E8" w:rsidP="009909E8">
      <w:pPr>
        <w:pStyle w:val="ListParagraph"/>
        <w:numPr>
          <w:ilvl w:val="0"/>
          <w:numId w:val="1"/>
        </w:numPr>
        <w:rPr>
          <w:rFonts w:ascii="Times New Roman" w:hAnsi="Times New Roman" w:cs="Times New Roman"/>
          <w:sz w:val="24"/>
          <w:szCs w:val="24"/>
        </w:rPr>
      </w:pPr>
      <w:r w:rsidRPr="00F53D05">
        <w:rPr>
          <w:rFonts w:ascii="Times New Roman" w:hAnsi="Times New Roman" w:cs="Times New Roman"/>
          <w:sz w:val="24"/>
          <w:szCs w:val="24"/>
        </w:rPr>
        <w:t xml:space="preserve">Title of Dataset: </w:t>
      </w:r>
      <w:r w:rsidR="00384FD3" w:rsidRPr="00F53D05">
        <w:rPr>
          <w:rFonts w:ascii="Times New Roman" w:hAnsi="Times New Roman" w:cs="Times New Roman"/>
          <w:sz w:val="24"/>
          <w:szCs w:val="24"/>
        </w:rPr>
        <w:t>Past deforestation (2000-2018) and future deforestation probability (2019-2053) for Wallacea</w:t>
      </w:r>
    </w:p>
    <w:p w14:paraId="6C65D352"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2. Contact Information</w:t>
      </w:r>
    </w:p>
    <w:p w14:paraId="1968D485"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Name: Matthew J. Struebig</w:t>
      </w:r>
    </w:p>
    <w:p w14:paraId="65ADC329"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Institution: University of Kent</w:t>
      </w:r>
    </w:p>
    <w:p w14:paraId="5624FBB9"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Address: Canterbury</w:t>
      </w:r>
    </w:p>
    <w:p w14:paraId="63D9BD66"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Email:M.J.Struebig@kent.ac.uk</w:t>
      </w:r>
    </w:p>
    <w:p w14:paraId="3343E00D" w14:textId="77777777" w:rsidR="009909E8" w:rsidRPr="00F53D05" w:rsidRDefault="009909E8" w:rsidP="009909E8">
      <w:pPr>
        <w:rPr>
          <w:rFonts w:ascii="Times New Roman" w:hAnsi="Times New Roman" w:cs="Times New Roman"/>
          <w:sz w:val="24"/>
          <w:szCs w:val="24"/>
        </w:rPr>
      </w:pPr>
    </w:p>
    <w:p w14:paraId="4DF71F13"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Name: Maria Voigt</w:t>
      </w:r>
      <w:r w:rsidRPr="00F53D05">
        <w:rPr>
          <w:rFonts w:ascii="Times New Roman" w:hAnsi="Times New Roman" w:cs="Times New Roman"/>
          <w:sz w:val="24"/>
          <w:szCs w:val="24"/>
        </w:rPr>
        <w:tab/>
      </w:r>
    </w:p>
    <w:p w14:paraId="1C6FF944"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Institution: University of Kent</w:t>
      </w:r>
    </w:p>
    <w:p w14:paraId="0EBA659F"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Address: Canterbury, UK</w:t>
      </w:r>
    </w:p>
    <w:p w14:paraId="1FD935EB"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Email: M.Voigt@kent.ac.uk</w:t>
      </w:r>
    </w:p>
    <w:p w14:paraId="6AF631D7" w14:textId="77777777" w:rsidR="009909E8" w:rsidRPr="00F53D05" w:rsidRDefault="009909E8" w:rsidP="009909E8">
      <w:pPr>
        <w:rPr>
          <w:rFonts w:ascii="Times New Roman" w:hAnsi="Times New Roman" w:cs="Times New Roman"/>
          <w:sz w:val="24"/>
          <w:szCs w:val="24"/>
        </w:rPr>
      </w:pPr>
    </w:p>
    <w:p w14:paraId="01E2EB29"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3. Data produced: September 2020</w:t>
      </w:r>
    </w:p>
    <w:p w14:paraId="796446A7" w14:textId="77777777" w:rsidR="009909E8" w:rsidRPr="00F53D05" w:rsidRDefault="009909E8" w:rsidP="009909E8">
      <w:pPr>
        <w:rPr>
          <w:rFonts w:ascii="Times New Roman" w:hAnsi="Times New Roman" w:cs="Times New Roman"/>
          <w:sz w:val="24"/>
          <w:szCs w:val="24"/>
        </w:rPr>
      </w:pPr>
    </w:p>
    <w:p w14:paraId="16F76ECE"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4. Geographic location of data: Wallacea, Indonesia </w:t>
      </w:r>
    </w:p>
    <w:p w14:paraId="2D62A23D" w14:textId="77777777" w:rsidR="009909E8" w:rsidRPr="00F53D05" w:rsidRDefault="009909E8" w:rsidP="009909E8">
      <w:pPr>
        <w:rPr>
          <w:rFonts w:ascii="Times New Roman" w:hAnsi="Times New Roman" w:cs="Times New Roman"/>
          <w:sz w:val="24"/>
          <w:szCs w:val="24"/>
        </w:rPr>
      </w:pPr>
    </w:p>
    <w:p w14:paraId="3BF6C9FD"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5. Information about funding sources that supported the collection of the data:</w:t>
      </w:r>
    </w:p>
    <w:p w14:paraId="05AFC1DC"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This study was funded under the Newton Fund’s Wallacea Programme via the UK Natural Environment Research Council (NERC, NE/S007067/1) and the Indonesian Ministry for Research, Technology &amp; Higher Education (Ristekdikti, NKB-2892/UN2.RST/HKP.05.00/2020 and 1/E1/KP.PTNBH/2019). </w:t>
      </w:r>
    </w:p>
    <w:p w14:paraId="42ACCB52" w14:textId="77777777" w:rsidR="009909E8" w:rsidRPr="00F53D05" w:rsidRDefault="009909E8" w:rsidP="009909E8">
      <w:pPr>
        <w:rPr>
          <w:rFonts w:ascii="Times New Roman" w:hAnsi="Times New Roman" w:cs="Times New Roman"/>
          <w:sz w:val="24"/>
          <w:szCs w:val="24"/>
        </w:rPr>
      </w:pPr>
    </w:p>
    <w:p w14:paraId="7A00DDAE" w14:textId="77777777" w:rsidR="00384FD3" w:rsidRPr="00F53D05" w:rsidRDefault="00384FD3" w:rsidP="009909E8">
      <w:pPr>
        <w:rPr>
          <w:rFonts w:ascii="Times New Roman" w:hAnsi="Times New Roman" w:cs="Times New Roman"/>
          <w:sz w:val="24"/>
          <w:szCs w:val="24"/>
        </w:rPr>
      </w:pPr>
      <w:r w:rsidRPr="00F53D05">
        <w:rPr>
          <w:rFonts w:ascii="Times New Roman" w:hAnsi="Times New Roman" w:cs="Times New Roman"/>
          <w:sz w:val="24"/>
          <w:szCs w:val="24"/>
        </w:rPr>
        <w:t xml:space="preserve">6. Purpose of the study: </w:t>
      </w:r>
    </w:p>
    <w:p w14:paraId="0E4554B3" w14:textId="77777777" w:rsidR="00FE5CFD" w:rsidRPr="00F53D05" w:rsidRDefault="00384FD3" w:rsidP="00FE5CFD">
      <w:pPr>
        <w:spacing w:line="480" w:lineRule="auto"/>
        <w:rPr>
          <w:rFonts w:ascii="Times New Roman" w:hAnsi="Times New Roman" w:cs="Times New Roman"/>
          <w:bCs/>
          <w:sz w:val="24"/>
          <w:szCs w:val="24"/>
        </w:rPr>
      </w:pPr>
      <w:r w:rsidRPr="00F53D05">
        <w:rPr>
          <w:rFonts w:ascii="Times New Roman" w:hAnsi="Times New Roman" w:cs="Times New Roman"/>
          <w:sz w:val="24"/>
          <w:szCs w:val="24"/>
        </w:rPr>
        <w:t>We assessed patterns and drivers of forest loss and fragmentation</w:t>
      </w:r>
      <w:r w:rsidR="00FE5CFD" w:rsidRPr="00F53D05">
        <w:rPr>
          <w:rFonts w:ascii="Times New Roman" w:hAnsi="Times New Roman" w:cs="Times New Roman"/>
          <w:sz w:val="24"/>
          <w:szCs w:val="24"/>
        </w:rPr>
        <w:t xml:space="preserve"> across Wallacea</w:t>
      </w:r>
      <w:r w:rsidRPr="00F53D05">
        <w:rPr>
          <w:rFonts w:ascii="Times New Roman" w:hAnsi="Times New Roman" w:cs="Times New Roman"/>
          <w:sz w:val="24"/>
          <w:szCs w:val="24"/>
        </w:rPr>
        <w:t>, and used dynamic deforestation models to project future deforestation to 2053</w:t>
      </w:r>
      <w:r w:rsidR="00FE5CFD" w:rsidRPr="00F53D05">
        <w:rPr>
          <w:rFonts w:ascii="Times New Roman" w:hAnsi="Times New Roman" w:cs="Times New Roman"/>
          <w:sz w:val="24"/>
          <w:szCs w:val="24"/>
        </w:rPr>
        <w:t>.</w:t>
      </w:r>
      <w:r w:rsidR="00FE5CFD" w:rsidRPr="00F53D05">
        <w:rPr>
          <w:rFonts w:ascii="Times New Roman" w:hAnsi="Times New Roman" w:cs="Times New Roman"/>
          <w:bCs/>
          <w:sz w:val="24"/>
          <w:szCs w:val="24"/>
        </w:rPr>
        <w:t xml:space="preserve"> This provides a valuable baseline from which to monitor Wallacea’s new development course, as Indonesia undergoes profound policy changes that will provide both challenges and opportunities for environmental governance and conservation. </w:t>
      </w:r>
    </w:p>
    <w:p w14:paraId="14CF0D81" w14:textId="77777777" w:rsidR="00384FD3" w:rsidRPr="00F53D05" w:rsidRDefault="00384FD3" w:rsidP="009909E8">
      <w:pPr>
        <w:rPr>
          <w:rFonts w:ascii="Times New Roman" w:hAnsi="Times New Roman" w:cs="Times New Roman"/>
          <w:sz w:val="24"/>
          <w:szCs w:val="24"/>
        </w:rPr>
      </w:pPr>
    </w:p>
    <w:p w14:paraId="6645C35C" w14:textId="77777777" w:rsidR="00FE5CFD" w:rsidRPr="00F53D05" w:rsidRDefault="00FE5CFD" w:rsidP="009909E8">
      <w:pPr>
        <w:rPr>
          <w:rFonts w:ascii="Times New Roman" w:hAnsi="Times New Roman" w:cs="Times New Roman"/>
          <w:sz w:val="24"/>
          <w:szCs w:val="24"/>
        </w:rPr>
      </w:pPr>
    </w:p>
    <w:p w14:paraId="1D6494CA" w14:textId="77777777" w:rsidR="009909E8" w:rsidRPr="00F53D05" w:rsidRDefault="00384FD3" w:rsidP="009909E8">
      <w:pPr>
        <w:rPr>
          <w:rFonts w:ascii="Times New Roman" w:hAnsi="Times New Roman" w:cs="Times New Roman"/>
          <w:sz w:val="24"/>
          <w:szCs w:val="24"/>
        </w:rPr>
      </w:pPr>
      <w:r w:rsidRPr="00F53D05">
        <w:rPr>
          <w:rFonts w:ascii="Times New Roman" w:hAnsi="Times New Roman" w:cs="Times New Roman"/>
          <w:sz w:val="24"/>
          <w:szCs w:val="24"/>
        </w:rPr>
        <w:t>DATA &amp; FILE OVERVIEW</w:t>
      </w:r>
    </w:p>
    <w:p w14:paraId="36ACC03B"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1. File List</w:t>
      </w:r>
    </w:p>
    <w:p w14:paraId="1C576FC7"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A. Filename: forest_2014_18_180m.tif</w:t>
      </w:r>
    </w:p>
    <w:p w14:paraId="6167DEB0"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Short description: Primary forest cover in Wallacea in the year 2014 (coded as 1), forest loss between 200 and 2013 (coded as 0). Non-forest coded as -9999. This layer was used to train the deforestation model. </w:t>
      </w:r>
    </w:p>
    <w:p w14:paraId="68D6E505" w14:textId="77777777" w:rsidR="009909E8" w:rsidRPr="00F53D05" w:rsidRDefault="009909E8" w:rsidP="009909E8">
      <w:pPr>
        <w:rPr>
          <w:rFonts w:ascii="Times New Roman" w:hAnsi="Times New Roman" w:cs="Times New Roman"/>
          <w:sz w:val="24"/>
          <w:szCs w:val="24"/>
        </w:rPr>
      </w:pPr>
    </w:p>
    <w:p w14:paraId="171CDDEA"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B. Filename: deforestation_2014_18_180m.tif   </w:t>
      </w:r>
    </w:p>
    <w:p w14:paraId="497A1F77"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Short description: Primary forest cover loss in Wallacea between the years 2014 and 2018 (coded as 1). All other pixels coded as -9999. This layer was used to train the deforestation model. </w:t>
      </w:r>
    </w:p>
    <w:p w14:paraId="6D1600AE"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C. Filenames: summed_deforestation_probability_20xx_20xx_Wallacea.tif:</w:t>
      </w:r>
    </w:p>
    <w:p w14:paraId="0024F4FF"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Short description: Summed probability of deforestation for the 5-year intervals from 2019 to 2053. The binary maps of projected deforestation (n = 100) were aggregated into the summed probability of deforestation (i.e., if a pixel was deemed to be deforested in 50 of 100 iterations, it was assigned a summed deforestation probability of 50%). </w:t>
      </w:r>
    </w:p>
    <w:p w14:paraId="24D78FC3" w14:textId="77777777" w:rsidR="009909E8" w:rsidRPr="00F53D05" w:rsidRDefault="009909E8" w:rsidP="009909E8">
      <w:pPr>
        <w:rPr>
          <w:rFonts w:ascii="Times New Roman" w:hAnsi="Times New Roman" w:cs="Times New Roman"/>
          <w:sz w:val="24"/>
          <w:szCs w:val="24"/>
        </w:rPr>
      </w:pPr>
    </w:p>
    <w:p w14:paraId="7CB2FD5C"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2. Relationship between files:        </w:t>
      </w:r>
    </w:p>
    <w:p w14:paraId="79AEB29F"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Files A and B were used alongside data in Table 1 in related publication Voigt et al. 2021 (https://kar.kent.ac.uk/89330/) in the deforestation model to produce files C. </w:t>
      </w:r>
    </w:p>
    <w:p w14:paraId="3E0775DF" w14:textId="77777777" w:rsidR="009909E8" w:rsidRPr="00F53D05" w:rsidRDefault="009909E8" w:rsidP="009909E8">
      <w:pPr>
        <w:rPr>
          <w:rFonts w:ascii="Times New Roman" w:hAnsi="Times New Roman" w:cs="Times New Roman"/>
          <w:sz w:val="24"/>
          <w:szCs w:val="24"/>
        </w:rPr>
      </w:pPr>
    </w:p>
    <w:p w14:paraId="3F41CC72" w14:textId="77777777" w:rsidR="009909E8" w:rsidRPr="00F53D05" w:rsidRDefault="009909E8" w:rsidP="009909E8">
      <w:pPr>
        <w:pStyle w:val="Objectheading"/>
        <w:rPr>
          <w:b/>
        </w:rPr>
      </w:pPr>
      <w:r w:rsidRPr="00F53D05">
        <w:rPr>
          <w:b/>
        </w:rPr>
        <w:t>Table 1</w:t>
      </w:r>
      <w:r w:rsidRPr="00F53D05">
        <w:t xml:space="preserve"> Predictors used in deforestation modelling, including their description, source and year</w:t>
      </w:r>
    </w:p>
    <w:tbl>
      <w:tblPr>
        <w:tblStyle w:val="TableGridLight"/>
        <w:tblpPr w:leftFromText="180" w:rightFromText="180" w:vertAnchor="text" w:horzAnchor="margin" w:tblpY="13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701"/>
        <w:gridCol w:w="3470"/>
        <w:gridCol w:w="3476"/>
        <w:gridCol w:w="1559"/>
      </w:tblGrid>
      <w:tr w:rsidR="009909E8" w:rsidRPr="00F53D05" w14:paraId="71DF3797" w14:textId="77777777" w:rsidTr="000A5ECA">
        <w:tc>
          <w:tcPr>
            <w:tcW w:w="1701" w:type="dxa"/>
            <w:tcBorders>
              <w:top w:val="single" w:sz="4" w:space="0" w:color="auto"/>
              <w:bottom w:val="single" w:sz="4" w:space="0" w:color="auto"/>
            </w:tcBorders>
            <w:shd w:val="clear" w:color="auto" w:fill="auto"/>
            <w:vAlign w:val="center"/>
          </w:tcPr>
          <w:p w14:paraId="5A4D027C"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Name</w:t>
            </w:r>
          </w:p>
        </w:tc>
        <w:tc>
          <w:tcPr>
            <w:tcW w:w="3470" w:type="dxa"/>
            <w:tcBorders>
              <w:top w:val="single" w:sz="4" w:space="0" w:color="auto"/>
              <w:bottom w:val="single" w:sz="4" w:space="0" w:color="auto"/>
            </w:tcBorders>
            <w:shd w:val="clear" w:color="auto" w:fill="auto"/>
            <w:vAlign w:val="center"/>
          </w:tcPr>
          <w:p w14:paraId="57653D6A"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Description</w:t>
            </w:r>
          </w:p>
        </w:tc>
        <w:tc>
          <w:tcPr>
            <w:tcW w:w="3476" w:type="dxa"/>
            <w:tcBorders>
              <w:top w:val="single" w:sz="4" w:space="0" w:color="auto"/>
              <w:bottom w:val="single" w:sz="4" w:space="0" w:color="auto"/>
            </w:tcBorders>
            <w:shd w:val="clear" w:color="auto" w:fill="auto"/>
            <w:vAlign w:val="center"/>
          </w:tcPr>
          <w:p w14:paraId="61F1FAB3"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Source</w:t>
            </w:r>
          </w:p>
        </w:tc>
        <w:tc>
          <w:tcPr>
            <w:tcW w:w="1559" w:type="dxa"/>
            <w:tcBorders>
              <w:top w:val="single" w:sz="4" w:space="0" w:color="auto"/>
              <w:bottom w:val="single" w:sz="4" w:space="0" w:color="auto"/>
            </w:tcBorders>
            <w:shd w:val="clear" w:color="auto" w:fill="auto"/>
            <w:vAlign w:val="center"/>
          </w:tcPr>
          <w:p w14:paraId="1B2B9426" w14:textId="77777777" w:rsidR="009909E8" w:rsidRPr="00F53D05" w:rsidRDefault="009909E8" w:rsidP="000A5ECA">
            <w:pPr>
              <w:pStyle w:val="Tabletext"/>
              <w:framePr w:hSpace="0" w:wrap="auto" w:vAnchor="margin" w:hAnchor="text" w:xAlign="left" w:yAlign="inline"/>
              <w:rPr>
                <w:rFonts w:cs="Times New Roman"/>
                <w:sz w:val="24"/>
                <w:szCs w:val="24"/>
              </w:rPr>
            </w:pPr>
            <w:r w:rsidRPr="00F53D05">
              <w:rPr>
                <w:rFonts w:cs="Times New Roman"/>
                <w:sz w:val="24"/>
                <w:szCs w:val="24"/>
              </w:rPr>
              <w:t>Year</w:t>
            </w:r>
          </w:p>
        </w:tc>
      </w:tr>
      <w:tr w:rsidR="009909E8" w:rsidRPr="00F53D05" w14:paraId="04140F89" w14:textId="77777777" w:rsidTr="000A5ECA">
        <w:trPr>
          <w:trHeight w:val="677"/>
        </w:trPr>
        <w:tc>
          <w:tcPr>
            <w:tcW w:w="1701" w:type="dxa"/>
            <w:tcBorders>
              <w:top w:val="single" w:sz="4" w:space="0" w:color="auto"/>
            </w:tcBorders>
          </w:tcPr>
          <w:p w14:paraId="1B648821"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Forest cover and loss</w:t>
            </w:r>
          </w:p>
        </w:tc>
        <w:tc>
          <w:tcPr>
            <w:tcW w:w="3470" w:type="dxa"/>
            <w:tcBorders>
              <w:top w:val="single" w:sz="4" w:space="0" w:color="auto"/>
            </w:tcBorders>
          </w:tcPr>
          <w:p w14:paraId="7AC71F98"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Forest cover and loss previous to the calibration period (2001-2013) and in the calibration period (2014-2018)</w:t>
            </w:r>
          </w:p>
        </w:tc>
        <w:tc>
          <w:tcPr>
            <w:tcW w:w="3476" w:type="dxa"/>
            <w:tcBorders>
              <w:top w:val="single" w:sz="4" w:space="0" w:color="auto"/>
            </w:tcBorders>
          </w:tcPr>
          <w:p w14:paraId="4414009B"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 xml:space="preserve">Giri et al. </w:t>
            </w:r>
            <w:r w:rsidRPr="00F53D05">
              <w:rPr>
                <w:rFonts w:cs="Times New Roman"/>
                <w:sz w:val="24"/>
                <w:szCs w:val="24"/>
              </w:rPr>
              <w:fldChar w:fldCharType="begin"/>
            </w:r>
            <w:r w:rsidRPr="00F53D05">
              <w:rPr>
                <w:rFonts w:cs="Times New Roman"/>
                <w:sz w:val="24"/>
                <w:szCs w:val="24"/>
              </w:rPr>
              <w:instrText xml:space="preserve"> ADDIN ZOTERO_ITEM CSL_CITATION {"citationID":"jan2MLWP","properties":{"formattedCitation":"(2011)","plainCitation":"(2011)","noteIndex":0},"citationItems":[{"id":8054,"uris":["http://zotero.org/users/1981608/items/CJV2ASXN"],"uri":["http://zotero.org/users/1981608/items/CJV2ASXN"],"itemData":{"id":8054,"type":"article-journal","title":"Status and distribution of mangrove forests of the world using earth observation satellite data","container-title":"Global Ecology and Biogeography","page":"154-159","volume":"20","issue":"1","source":"Wiley Online Library","abstract":"Aim Our scientific understanding of the extent and distribution of mangrove forests of the world is inadequate. The available global mangrove databases, compiled using disparate geospatial data sources and national statistics, need to be improved. Here, we mapped the status and distributions of global mangroves using recently available Global Land Survey (GLS) data and the Landsat archive. Methods We interpreted approximately 1000 Landsat scenes using hybrid supervised and unsupervised digital image classification techniques. Each image was normalized for variation in solar angle and earth–sun distance by converting the digital number values to the top-of-the-atmosphere reflectance. Ground truth data and existing maps and databases were used to select training samples and also for iterative labelling. Results were validated using existing GIS data and the published literature to map ‘true mangroves’. Results The total area of mangroves in the year 2000 was 137,760 km2 in 118 countries and territories in the tropical and subtropical regions of the world. Approximately 75% of world's mangroves are found in just 15 countries, and only 6.9% are protected under the existing protected areas network (IUCN I-IV). Our study confirms earlier findings that the biogeographic distribution of mangroves is generally confined to the tropical and subtropical regions and the largest percentage of mangroves is found between 5° N and 5° S latitude. Main conclusions We report that the remaining area of mangrove forest in the world is less than previously thought. Our estimate is 12.3% smaller than the most recent estimate by the Food and Agriculture Organization (FAO) of the United Nations. We present the most comprehensive, globally consistent and highest resolution (30 m) global mangrove database ever created. We developed and used better mapping techniques and data sources and mapped mangroves with better spatial and thematic details than previous studies.","DOI":"10.1111/j.1466-8238.2010.00584.x","ISSN":"1466-8238","language":"en","author":[{"family":"Giri","given":"C."},{"family":"Ochieng","given":"E."},{"family":"Tieszen","given":"L. L."},{"family":"Zhu","given":"Z."},{"family":"Singh","given":"A."},{"family":"Loveland","given":"T."},{"family":"Masek","given":"J."},{"family":"Duke","given":"N."}],"issued":{"date-parts":[["2011"]]}},"suppress-author":true}],"schema":"https://github.com/citation-style-language/schema/raw/master/csl-citation.json"} </w:instrText>
            </w:r>
            <w:r w:rsidRPr="00F53D05">
              <w:rPr>
                <w:rFonts w:cs="Times New Roman"/>
                <w:sz w:val="24"/>
                <w:szCs w:val="24"/>
              </w:rPr>
              <w:fldChar w:fldCharType="separate"/>
            </w:r>
            <w:r w:rsidRPr="00F53D05">
              <w:rPr>
                <w:rFonts w:cs="Times New Roman"/>
                <w:sz w:val="24"/>
                <w:szCs w:val="24"/>
              </w:rPr>
              <w:t>(2011)</w:t>
            </w:r>
            <w:r w:rsidRPr="00F53D05">
              <w:rPr>
                <w:rFonts w:cs="Times New Roman"/>
                <w:sz w:val="24"/>
                <w:szCs w:val="24"/>
              </w:rPr>
              <w:fldChar w:fldCharType="end"/>
            </w:r>
            <w:r w:rsidRPr="00F53D05">
              <w:rPr>
                <w:rFonts w:cs="Times New Roman"/>
                <w:sz w:val="24"/>
                <w:szCs w:val="24"/>
              </w:rPr>
              <w:t xml:space="preserve">, Hansen et al. </w:t>
            </w:r>
            <w:r w:rsidRPr="00F53D05">
              <w:rPr>
                <w:rFonts w:cs="Times New Roman"/>
                <w:sz w:val="24"/>
                <w:szCs w:val="24"/>
              </w:rPr>
              <w:fldChar w:fldCharType="begin"/>
            </w:r>
            <w:r w:rsidRPr="00F53D05">
              <w:rPr>
                <w:rFonts w:cs="Times New Roman"/>
                <w:sz w:val="24"/>
                <w:szCs w:val="24"/>
              </w:rPr>
              <w:instrText xml:space="preserve"> ADDIN ZOTERO_ITEM CSL_CITATION {"citationID":"b4WBccn6","properties":{"formattedCitation":"(2013)","plainCitation":"(2013)","noteIndex":0},"citationItems":[{"id":1125,"uris":["http://zotero.org/users/1981608/items/UPG89FK2"],"uri":["http://zotero.org/users/1981608/items/UPG89FK2"],"itemData":{"id":1125,"type":"article-journal","title":"High-Resolution Global Maps of 21st-Century Forest Cover Change","container-title":"Science","page":"850-853","volume":"342","issue":"6160","source":"www.sciencemag.org","abstract":"Quantification of global forest change has been lacking despite the recognized importance of forest ecosystem services. In this study, Earth observation satellite data were used to map global forest loss (2.3 million square kilometers) and gain (0.8 million square kilometers) from 2000 to 2012 at a spatial resolution of 30 meters. The tropics were the only climate domain to exhibit a trend, with forest loss increasing by 2101 square kilometers per year. Brazil’s well-documented reduction in deforestation was offset by increasing forest loss in Indonesia, Malaysia, Paraguay, Bolivia, Zambia, Angola, and elsewhere. Intensive forestry practiced within subtropical forests resulted in the highest rates of forest change globally. Boreal forest loss due largely to fire and forestry was second to that in the tropics in absolute and proportional terms. These results depict a globally consistent and locally relevant record of forest change.\nForests in Flux\nForests worldwide are in a state of flux, with accelerating losses in some regions and gains in others. Hansen et al. (p. 850) examined global Landsat data at a 30-meter spatial resolution to characterize forest extent, loss, and gain from 2000 to 2012. Globally, 2.3 million square kilometers of forest were lost during the 12-year study period and 0.8 million square kilometers of new forest were gained. The tropics exhibited both the greatest losses and the greatest gains (through regrowth and plantation), with losses outstripping gains.","DOI":"10.1126/science.1244693","ISSN":"0036-8075, 1095-9203","note":"PMID: 24233722","journalAbbreviation":"Science","language":"en","author":[{"family":"Hansen","given":"Matthew C."},{"family":"Potapov","given":"Peter V."},{"family":"Moore","given":"R."},{"family":"Hancher","given":"M."},{"family":"Turubanova","given":"Svetlana"},{"family":"Tyukavina","given":"Alexandra"},{"family":"Thau","given":"D."},{"family":"Stehman","given":"S. V."},{"family":"Goetz","given":"S. J."},{"family":"Loveland","given":"T. R."},{"family":"Kommareddy","given":"A."},{"family":"Egorov","given":"A."},{"family":"Chini","given":"L."},{"family":"Justice","given":"C. O."},{"family":"Townshend","given":"J. R. G."}],"issued":{"date-parts":[["2013",11,15]]}},"suppress-author":true}],"schema":"https://github.com/citation-style-language/schema/raw/master/csl-citation.json"} </w:instrText>
            </w:r>
            <w:r w:rsidRPr="00F53D05">
              <w:rPr>
                <w:rFonts w:cs="Times New Roman"/>
                <w:sz w:val="24"/>
                <w:szCs w:val="24"/>
              </w:rPr>
              <w:fldChar w:fldCharType="separate"/>
            </w:r>
            <w:r w:rsidRPr="00F53D05">
              <w:rPr>
                <w:rFonts w:cs="Times New Roman"/>
                <w:sz w:val="24"/>
                <w:szCs w:val="24"/>
              </w:rPr>
              <w:t>(2013)</w:t>
            </w:r>
            <w:r w:rsidRPr="00F53D05">
              <w:rPr>
                <w:rFonts w:cs="Times New Roman"/>
                <w:sz w:val="24"/>
                <w:szCs w:val="24"/>
              </w:rPr>
              <w:fldChar w:fldCharType="end"/>
            </w:r>
            <w:r w:rsidRPr="00F53D05">
              <w:rPr>
                <w:rFonts w:cs="Times New Roman"/>
                <w:sz w:val="24"/>
                <w:szCs w:val="24"/>
              </w:rPr>
              <w:t>, Margono et al.</w:t>
            </w:r>
            <w:bookmarkStart w:id="0" w:name="__UnoMark__19159_2804356166"/>
            <w:bookmarkStart w:id="1" w:name="__UnoMark__18882_2804356166"/>
            <w:bookmarkStart w:id="2" w:name="__UnoMark__18605_2804356166"/>
            <w:bookmarkStart w:id="3" w:name="__UnoMark__18445_2804356166"/>
            <w:r w:rsidRPr="00F53D05">
              <w:rPr>
                <w:rFonts w:cs="Times New Roman"/>
                <w:sz w:val="24"/>
                <w:szCs w:val="24"/>
              </w:rPr>
              <w:t xml:space="preserve"> </w:t>
            </w:r>
            <w:r w:rsidRPr="00F53D05">
              <w:rPr>
                <w:rFonts w:cs="Times New Roman"/>
                <w:sz w:val="24"/>
                <w:szCs w:val="24"/>
              </w:rPr>
              <w:fldChar w:fldCharType="begin"/>
            </w:r>
            <w:r w:rsidR="00384FD3" w:rsidRPr="00F53D05">
              <w:rPr>
                <w:rFonts w:cs="Times New Roman"/>
                <w:sz w:val="24"/>
                <w:szCs w:val="24"/>
              </w:rPr>
              <w:instrText xml:space="preserve"> ADDIN ZOTERO_ITEM CSL_CITATION {"citationID":"Ec2xxmgi","properties":{"formattedCitation":"(2014)","plainCitation":"(2014)","noteIndex":0},"citationItems":[{"id":"ZcccPaRO/l3mkjivF","uris":["http://zotero.org/users/1981608/items/ZZCUVEKW"],"uri":["http://zotero.org/users/1981608/items/ZZCUVEKW"],"itemData":{"id":5573,"type":"article-journal","title":"Primary forest cover loss in Indonesia over 2000-2012","container-title":"Nature Climate Change","page":"730-735","volume":"4","issue":"8","source":"www.nature.com","abstract":"Extensive clearing of Indonesian primary forests results in increased greenhouse gas emissions and biodiversity loss. However, there is no consensus on the areal extent and temporal trends of primary forest clearing in Indonesia. Here we report a spatially and temporally explicit quantification of Indonesian primary forest loss, which totalled over 6.02 Mha from 2000 to 2012 and increased on average by 47,600 ha per year. By 2012, annual primary forest loss in Indonesia was estimated to be higher than in Brazil (0.84 Mha and 0.46 Mha, respectively). Proportional loss of primary forests in wetland landforms increased and almost all clearing of primary forests occurred within degraded types, meaning logging preceded conversion processes. Loss within official forest land uses that restrict or prohibit clearing totalled 40% of all loss within national forest land. The increasing loss of Indonesian primary forests has significant implications for climate change mitigation and biodiversity conservation efforts.","DOI":"10.1038/nclimate2277","ISSN":"1758-678X","journalAbbreviation":"Nature Clim. Change","language":"en","author":[{"family":"Margono","given":"Belinda Arunarwati"},{"family":"Potapov","given":"Peter V."},{"family":"Turubanova","given":"Svetlana"},{"family":"Stolle","given":"Fred"},{"family":"Hansen","given":"Matthew C."}],"issued":{"date-parts":[["2014",8]]}},"suppress-author":true}],"schema":"https://github.com/citation-style-language/schema/raw/master/csl-citation.json"} </w:instrText>
            </w:r>
            <w:r w:rsidRPr="00F53D05">
              <w:rPr>
                <w:rFonts w:cs="Times New Roman"/>
                <w:sz w:val="24"/>
                <w:szCs w:val="24"/>
              </w:rPr>
              <w:fldChar w:fldCharType="separate"/>
            </w:r>
            <w:r w:rsidRPr="00F53D05">
              <w:rPr>
                <w:rFonts w:cs="Times New Roman"/>
                <w:sz w:val="24"/>
                <w:szCs w:val="24"/>
              </w:rPr>
              <w:t>(2014)</w:t>
            </w:r>
            <w:r w:rsidRPr="00F53D05">
              <w:rPr>
                <w:rFonts w:cs="Times New Roman"/>
                <w:sz w:val="24"/>
                <w:szCs w:val="24"/>
              </w:rPr>
              <w:fldChar w:fldCharType="end"/>
            </w:r>
            <w:bookmarkEnd w:id="0"/>
            <w:bookmarkEnd w:id="1"/>
            <w:bookmarkEnd w:id="2"/>
            <w:bookmarkEnd w:id="3"/>
          </w:p>
        </w:tc>
        <w:tc>
          <w:tcPr>
            <w:tcW w:w="1559" w:type="dxa"/>
            <w:tcBorders>
              <w:top w:val="single" w:sz="4" w:space="0" w:color="auto"/>
            </w:tcBorders>
          </w:tcPr>
          <w:p w14:paraId="4E6813D9"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2000,</w:t>
            </w:r>
          </w:p>
          <w:p w14:paraId="09CE47FF"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2001-2013,</w:t>
            </w:r>
          </w:p>
          <w:p w14:paraId="49ACC526"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2014-2018</w:t>
            </w:r>
          </w:p>
        </w:tc>
      </w:tr>
      <w:tr w:rsidR="009909E8" w:rsidRPr="00F53D05" w14:paraId="4841E922" w14:textId="77777777" w:rsidTr="000A5ECA">
        <w:trPr>
          <w:trHeight w:val="450"/>
        </w:trPr>
        <w:tc>
          <w:tcPr>
            <w:tcW w:w="1701" w:type="dxa"/>
          </w:tcPr>
          <w:p w14:paraId="10A4AE40"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Slope</w:t>
            </w:r>
          </w:p>
        </w:tc>
        <w:tc>
          <w:tcPr>
            <w:tcW w:w="3470" w:type="dxa"/>
          </w:tcPr>
          <w:p w14:paraId="18BD7890"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Slope in 2000 derived from the digital elevation model (30 m)</w:t>
            </w:r>
          </w:p>
        </w:tc>
        <w:tc>
          <w:tcPr>
            <w:tcW w:w="3476" w:type="dxa"/>
          </w:tcPr>
          <w:p w14:paraId="37C6DF57"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Farr et al.</w:t>
            </w:r>
            <w:bookmarkStart w:id="4" w:name="__UnoMark__19153_2804356166"/>
            <w:bookmarkStart w:id="5" w:name="__UnoMark__18875_2804356166"/>
            <w:bookmarkStart w:id="6" w:name="__UnoMark__18437_2804356166"/>
            <w:bookmarkStart w:id="7" w:name="__UnoMark__18597_2804356166"/>
            <w:r w:rsidRPr="00F53D05">
              <w:rPr>
                <w:rFonts w:cs="Times New Roman"/>
                <w:sz w:val="24"/>
                <w:szCs w:val="24"/>
              </w:rPr>
              <w:t xml:space="preserve"> </w:t>
            </w:r>
            <w:r w:rsidRPr="00F53D05">
              <w:rPr>
                <w:rFonts w:cs="Times New Roman"/>
                <w:sz w:val="24"/>
                <w:szCs w:val="24"/>
              </w:rPr>
              <w:fldChar w:fldCharType="begin"/>
            </w:r>
            <w:r w:rsidRPr="00F53D05">
              <w:rPr>
                <w:rFonts w:cs="Times New Roman"/>
                <w:sz w:val="24"/>
                <w:szCs w:val="24"/>
              </w:rPr>
              <w:instrText xml:space="preserve"> ADDIN ZOTERO_ITEM CSL_CITATION {"citationID":"k3ZQWZPz","properties":{"formattedCitation":"(2007)","plainCitation":"(2007)","noteIndex":0},"citationItems":[{"id":8236,"uris":["http://zotero.org/users/1981608/items/J89WDJ7M"],"uri":["http://zotero.org/users/1981608/items/J89WDJ7M"],"itemData":{"id":8236,"type":"article-journal","title":"The shuttle radar topography mission","container-title":"Reviews of geophysics","volume":"45","issue":"2","author":[{"family":"Farr","given":"Tom G."},{"family":"Rosen","given":"Paul A."},{"family":"Caro","given":"Edward"},{"family":"Crippen","given":"Robert"},{"family":"Duren","given":"Riley"},{"family":"Hensley","given":"Scott"},{"family":"Kobrick","given":"Michael"},{"family":"Paller","given":"Mimi"},{"family":"Rodriguez","given":"Ernesto"},{"family":"Roth","given":"Ladislav"}],"issued":{"date-parts":[["2007"]]}},"suppress-author":true}],"schema":"https://github.com/citation-style-language/schema/raw/master/csl-citation.json"} </w:instrText>
            </w:r>
            <w:r w:rsidRPr="00F53D05">
              <w:rPr>
                <w:rFonts w:cs="Times New Roman"/>
                <w:sz w:val="24"/>
                <w:szCs w:val="24"/>
              </w:rPr>
              <w:fldChar w:fldCharType="separate"/>
            </w:r>
            <w:r w:rsidRPr="00F53D05">
              <w:rPr>
                <w:rFonts w:cs="Times New Roman"/>
                <w:sz w:val="24"/>
                <w:szCs w:val="24"/>
              </w:rPr>
              <w:t>(2007)</w:t>
            </w:r>
            <w:r w:rsidRPr="00F53D05">
              <w:rPr>
                <w:rFonts w:cs="Times New Roman"/>
                <w:sz w:val="24"/>
                <w:szCs w:val="24"/>
              </w:rPr>
              <w:fldChar w:fldCharType="end"/>
            </w:r>
            <w:bookmarkEnd w:id="4"/>
            <w:bookmarkEnd w:id="5"/>
            <w:bookmarkEnd w:id="6"/>
            <w:bookmarkEnd w:id="7"/>
          </w:p>
        </w:tc>
        <w:tc>
          <w:tcPr>
            <w:tcW w:w="1559" w:type="dxa"/>
          </w:tcPr>
          <w:p w14:paraId="6372DAD4"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2000</w:t>
            </w:r>
          </w:p>
        </w:tc>
      </w:tr>
      <w:tr w:rsidR="009909E8" w:rsidRPr="00F53D05" w14:paraId="7FFC8FAC" w14:textId="77777777" w:rsidTr="000A5ECA">
        <w:tc>
          <w:tcPr>
            <w:tcW w:w="1701" w:type="dxa"/>
          </w:tcPr>
          <w:p w14:paraId="23998955"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Fire activity</w:t>
            </w:r>
          </w:p>
        </w:tc>
        <w:tc>
          <w:tcPr>
            <w:tcW w:w="3470" w:type="dxa"/>
          </w:tcPr>
          <w:p w14:paraId="54363C66"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 xml:space="preserve">The average number of active fires per year (MODIS and VIIRS) as a proxy for fire </w:t>
            </w:r>
            <w:r w:rsidRPr="00F53D05">
              <w:rPr>
                <w:rFonts w:cs="Times New Roman"/>
                <w:sz w:val="24"/>
                <w:szCs w:val="24"/>
              </w:rPr>
              <w:lastRenderedPageBreak/>
              <w:t>proneness and agricultural activity.</w:t>
            </w:r>
          </w:p>
        </w:tc>
        <w:tc>
          <w:tcPr>
            <w:tcW w:w="3476" w:type="dxa"/>
          </w:tcPr>
          <w:p w14:paraId="3FB7E993"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lastRenderedPageBreak/>
              <w:t xml:space="preserve">MODIS Collection 6 NRT </w:t>
            </w:r>
            <w:bookmarkStart w:id="8" w:name="__UnoMark__18423_2804356166"/>
            <w:bookmarkStart w:id="9" w:name="__UnoMark__19160_2804356166"/>
            <w:bookmarkStart w:id="10" w:name="__UnoMark__18883_2804356166"/>
            <w:bookmarkStart w:id="11" w:name="__UnoMark__18583_2804356166"/>
            <w:r w:rsidRPr="00F53D05">
              <w:rPr>
                <w:rFonts w:cs="Times New Roman"/>
                <w:sz w:val="24"/>
                <w:szCs w:val="24"/>
              </w:rPr>
              <w:fldChar w:fldCharType="begin"/>
            </w:r>
            <w:r w:rsidRPr="00F53D05">
              <w:rPr>
                <w:rFonts w:cs="Times New Roman"/>
                <w:sz w:val="24"/>
                <w:szCs w:val="24"/>
              </w:rPr>
              <w:instrText xml:space="preserve"> ADDIN ZOTERO_ITEM CSL_CITATION {"citationID":"9pq9GhGL","properties":{"formattedCitation":"(2018)","plainCitation":"(2018)","noteIndex":0},"citationItems":[{"id":6901,"uris":["http://zotero.org/users/1981608/items/YBCZZV9N"],"uri":["http://zotero.org/users/1981608/items/YBCZZV9N"],"itemData":{"id":6901,"type":"article-journal","title":"MODIS Collection 6 NRT Hotspot / Active Fire Detections MCD14DL","URL":"https://earthdata.nasa.gov/firms","DOI":"10.5067/FIRMS/MODIS/MCD14DL.NRT.006","author":[{"family":"MODIS Collection 6 NRT","given":""}],"issued":{"date-parts":[["2018"]]}},"suppress-author":true}],"schema":"https://github.com/citation-style-language/schema/raw/master/csl-citation.json"} </w:instrText>
            </w:r>
            <w:r w:rsidRPr="00F53D05">
              <w:rPr>
                <w:rFonts w:cs="Times New Roman"/>
                <w:sz w:val="24"/>
                <w:szCs w:val="24"/>
              </w:rPr>
              <w:fldChar w:fldCharType="separate"/>
            </w:r>
            <w:r w:rsidRPr="00F53D05">
              <w:rPr>
                <w:rFonts w:cs="Times New Roman"/>
                <w:sz w:val="24"/>
                <w:szCs w:val="24"/>
              </w:rPr>
              <w:t>(2018)</w:t>
            </w:r>
            <w:r w:rsidRPr="00F53D05">
              <w:rPr>
                <w:rFonts w:cs="Times New Roman"/>
                <w:sz w:val="24"/>
                <w:szCs w:val="24"/>
              </w:rPr>
              <w:fldChar w:fldCharType="end"/>
            </w:r>
            <w:bookmarkEnd w:id="8"/>
            <w:bookmarkEnd w:id="9"/>
            <w:bookmarkEnd w:id="10"/>
            <w:bookmarkEnd w:id="11"/>
            <w:r w:rsidRPr="00F53D05">
              <w:rPr>
                <w:rFonts w:cs="Times New Roman"/>
                <w:sz w:val="24"/>
                <w:szCs w:val="24"/>
              </w:rPr>
              <w:t xml:space="preserve">, VIIRS 375m NRT </w:t>
            </w:r>
            <w:bookmarkStart w:id="12" w:name="__UnoMark__18598_2804356166"/>
            <w:bookmarkStart w:id="13" w:name="__UnoMark__19161_2804356166"/>
            <w:bookmarkStart w:id="14" w:name="__UnoMark__19031_2804356166"/>
            <w:bookmarkStart w:id="15" w:name="__UnoMark__18864_2804356166"/>
            <w:bookmarkStart w:id="16" w:name="__UnoMark__18438_2804356166"/>
            <w:bookmarkEnd w:id="12"/>
            <w:bookmarkEnd w:id="13"/>
            <w:bookmarkEnd w:id="14"/>
            <w:bookmarkEnd w:id="15"/>
            <w:bookmarkEnd w:id="16"/>
            <w:r w:rsidRPr="00F53D05">
              <w:rPr>
                <w:rFonts w:cs="Times New Roman"/>
                <w:sz w:val="24"/>
                <w:szCs w:val="24"/>
              </w:rPr>
              <w:fldChar w:fldCharType="begin"/>
            </w:r>
            <w:r w:rsidRPr="00F53D05">
              <w:rPr>
                <w:rFonts w:cs="Times New Roman"/>
                <w:sz w:val="24"/>
                <w:szCs w:val="24"/>
              </w:rPr>
              <w:instrText xml:space="preserve"> ADDIN ZOTERO_ITEM CSL_CITATION {"citationID":"702WIM3Y","properties":{"formattedCitation":"(2018)","plainCitation":"(2018)","noteIndex":0},"citationItems":[{"id":6900,"uris":["http://zotero.org/users/1981608/items/TKAFLUVS"],"uri":["http://zotero.org/users/1981608/items/TKAFLUVS"],"itemData":{"id":6900,"type":"article-journal","title":"NRT VIIRS 375 m Active Fire product VNP14IMGT","URL":"https://earthdata.nasa.gov/firms","DOI":"10.5067/FIRMS/VIIRS/VNP14IMGT.NRT.001","author":[{"family":"VIIRS 375m NRT","given":""}],"issued":{"date-parts":[["2018"]]}},"suppress-author":true}],"schema":"https://github.com/citation-style-language/schema/raw/master/csl-citation.json"} </w:instrText>
            </w:r>
            <w:r w:rsidRPr="00F53D05">
              <w:rPr>
                <w:rFonts w:cs="Times New Roman"/>
                <w:sz w:val="24"/>
                <w:szCs w:val="24"/>
              </w:rPr>
              <w:fldChar w:fldCharType="separate"/>
            </w:r>
            <w:r w:rsidRPr="00F53D05">
              <w:rPr>
                <w:rFonts w:cs="Times New Roman"/>
                <w:sz w:val="24"/>
                <w:szCs w:val="24"/>
              </w:rPr>
              <w:t>(2018)</w:t>
            </w:r>
            <w:r w:rsidRPr="00F53D05">
              <w:rPr>
                <w:rFonts w:cs="Times New Roman"/>
                <w:sz w:val="24"/>
                <w:szCs w:val="24"/>
              </w:rPr>
              <w:fldChar w:fldCharType="end"/>
            </w:r>
          </w:p>
        </w:tc>
        <w:tc>
          <w:tcPr>
            <w:tcW w:w="1559" w:type="dxa"/>
          </w:tcPr>
          <w:p w14:paraId="0D88820C"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2000-2018,</w:t>
            </w:r>
          </w:p>
          <w:p w14:paraId="48F1D170"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2012-2018</w:t>
            </w:r>
          </w:p>
        </w:tc>
      </w:tr>
      <w:tr w:rsidR="009909E8" w:rsidRPr="00F53D05" w14:paraId="39227ECC" w14:textId="77777777" w:rsidTr="000A5ECA">
        <w:tc>
          <w:tcPr>
            <w:tcW w:w="1701" w:type="dxa"/>
          </w:tcPr>
          <w:p w14:paraId="1720BF75"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Accessibility</w:t>
            </w:r>
          </w:p>
        </w:tc>
        <w:tc>
          <w:tcPr>
            <w:tcW w:w="3470" w:type="dxa"/>
          </w:tcPr>
          <w:p w14:paraId="5E5DBCA6"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Accessibility from settlements, considering roads, slope  and landcover</w:t>
            </w:r>
            <w:bookmarkStart w:id="17" w:name="__UnoMark__18600_2804356166"/>
            <w:bookmarkStart w:id="18" w:name="__UnoMark__18877_2804356166"/>
            <w:bookmarkStart w:id="19" w:name="__UnoMark__19155_2804356166"/>
            <w:bookmarkStart w:id="20" w:name="__UnoMark__18440_2804356166"/>
            <w:bookmarkEnd w:id="17"/>
            <w:bookmarkEnd w:id="18"/>
            <w:bookmarkEnd w:id="19"/>
            <w:bookmarkEnd w:id="20"/>
            <w:r w:rsidRPr="00F53D05">
              <w:rPr>
                <w:rFonts w:cs="Times New Roman"/>
                <w:sz w:val="24"/>
                <w:szCs w:val="24"/>
              </w:rPr>
              <w:t xml:space="preserve"> </w:t>
            </w:r>
            <w:r w:rsidRPr="00F53D05">
              <w:rPr>
                <w:rFonts w:cs="Times New Roman"/>
                <w:sz w:val="24"/>
                <w:szCs w:val="24"/>
              </w:rPr>
              <w:fldChar w:fldCharType="begin"/>
            </w:r>
            <w:r w:rsidR="00384FD3" w:rsidRPr="00F53D05">
              <w:rPr>
                <w:rFonts w:cs="Times New Roman"/>
                <w:sz w:val="24"/>
                <w:szCs w:val="24"/>
              </w:rPr>
              <w:instrText xml:space="preserve"> ADDIN ZOTERO_ITEM CSL_CITATION {"citationID":"sNvDEbJ9","properties":{"formattedCitation":"(Deere {\\i{}et al} 2020, Weiss {\\i{}et al} 2018)","plainCitation":"(Deere et al 2020, Weiss et al 2018)","noteIndex":0},"citationItems":[{"id":"ZcccPaRO/QkGyGVJN","uris":["http://zotero.org/users/1981608/items/HVTP8YH4"],"uri":["http://zotero.org/users/1981608/items/HVTP8YH4"],"itemData":{"id":"NkrMpe3r/1ZO8tXbg","type":"article-journal","title":"Implications of zero-deforestation commitments: Forest quality and hunting pressure limit mammal persistence in fragmented tropical landscapes","container-title":"Conservation Letters","page":"e12701","volume":"13","issue":"3","source":"Wiley Online Library","abstract":"Zero-deforestation commitments seek to decouple agricultural production and forest loss to improve prospects for biodiversity. However, the effectiveness of methods designed to meet these commitments is poorly understood. In a highly fragmented tropical landscape dominated by oil palm, we tested the capacity for the High Carbon Stock (HCS) Approach to prioritize forest remnants that sustain mammal diversity. Patches afforded high priority by HCS protocols (100 ha core area) provided important refuges for IUCN-threatened species and megafauna. However, patch-scale HCS area recommendations conserved only 35% of the mammal community. At least 3,000 ha would be required to retain intact mammal assemblages, with nearly 10 times this area needed if hunting pressure was high. While current HCS protocols will safeguard patches capable of sustaining biodiversity, highly fragmented tropical landscapes typical of zero-deforestation pledges will require thinking beyond the patch toward strategically configured forest remnants at the landscape level and enforcing strict controls on hunting.","DOI":"10.1111/conl.12701","ISSN":"1755-263X","title-short":"Implications of zero-deforestation commitments","language":"en","author":[{"family":"Deere","given":"Nicolas J."},{"family":"Guillera‐Arroita","given":"Gurutzeta"},{"family":"Platts","given":"Philip J."},{"family":"Mitchell","given":"Simon L."},{"family":"Baking","given":"Esther L."},{"family":"Bernard","given":"Henry"},{"family":"Haysom","given":"Jessica K."},{"family":"Reynolds","given":"Glen"},{"family":"Seaman","given":"Dave J. I."},{"family":"Davies","given":"Zoe G."},{"family":"Struebig","given":"Matthew J."}],"issued":{"date-parts":[["2020"]]}}},{"id":6670,"uris":["http://zotero.org/users/1981608/items/RHWMRJTL"],"uri":["http://zotero.org/users/1981608/items/RHWMRJTL"],"itemData":{"id":6670,"type":"article-journal","title":"A global map of travel time to cities to assess inequalities in accessibility in 2015","container-title":"Nature","page":"333-336","volume":"553","issue":"7688","source":"www-nature-com.offsitelib.eva.mpg.de","abstract":"The economic and man-made resources that sustain human wellbeing are not distributed evenly across the world, but are instead heavily concentrated in cities. Poor access to opportunities and services offered by urban centres (a function of distance, transport infrastructure, and the spatial distribution of cities) is a major barrier to improved livelihoods and overall development. Advancing accessibility worldwide underpins the equity agenda of ‘leaving no one behind’ established by the Sustainable Development Goals of the United Nations1. This has renewed international efforts to accurately measure accessibility and generate a metric that can inform the design and implementation of development policies. The only previous attempt to reliably map accessibility worldwide, which was published nearly a decade ago2, predated the baseline for the Sustainable Development Goals and excluded the recent expansion in infrastructure networks, particularly in lower-resource settings. In parallel, new data sources provided by Open Street Map and Google now capture transportation networks with unprecedented detail and precision. Here we develop and validate a map that quantifies travel time to cities for 2015 at a spatial resolution of approximately one by one kilometre by integrating ten global-scale surfaces that characterize factors affecting human movement rates and 13,840 high-density urban centres within an established geospatial-modelling framework. Our results highlight disparities in accessibility relative to wealth as 50.9% of individuals living in low-income settings (concentrated in sub-Saharan Africa) reside within an hour of a city compared to 90.7% of individuals in high-income settings. By further triangulating this map against socioeconomic datasets, we demonstrate how access to urban centres stratifies the economic, educational, and health status of humanity.","DOI":"10.1038/nature25181","ISSN":"1476-4687","language":"en","author":[{"family":"Weiss","given":"D. J."},{"family":"Nelson","given":"A."},{"family":"Gibson","given":"H. S."},{"family":"Temperley","given":"W."},{"family":"Peedell","given":"S."},{"family":"Lieber","given":"A."},{"family":"Hancher","given":"M."},{"family":"Poyart","given":"E."},{"family":"Belchior","given":"S."},{"family":"Fullman","given":"N."},{"family":"Mappin","given":"B."},{"family":"Dalrymple","given":"U."},{"family":"Rozier","given":"J."},{"family":"Lucas","given":"T. C. D."},{"family":"Howes","given":"R. E."},{"family":"Tusting","given":"L. S."},{"family":"Kang","given":"S. Y."},{"family":"Cameron","given":"E."},{"family":"Bisanzio","given":"D."},{"family":"Battle","given":"K. E."},{"family":"Bhatt","given":"S."},{"family":"Gething","given":"P. W."}],"issued":{"date-parts":[["2018",1]]}}}],"schema":"https://github.com/citation-style-language/schema/raw/master/csl-citation.json"} </w:instrText>
            </w:r>
            <w:r w:rsidRPr="00F53D05">
              <w:rPr>
                <w:rFonts w:cs="Times New Roman"/>
                <w:sz w:val="24"/>
                <w:szCs w:val="24"/>
              </w:rPr>
              <w:fldChar w:fldCharType="separate"/>
            </w:r>
            <w:r w:rsidRPr="00F53D05">
              <w:rPr>
                <w:rFonts w:cs="Times New Roman"/>
                <w:sz w:val="24"/>
                <w:szCs w:val="24"/>
              </w:rPr>
              <w:t xml:space="preserve">(Deere </w:t>
            </w:r>
            <w:r w:rsidRPr="00F53D05">
              <w:rPr>
                <w:rFonts w:cs="Times New Roman"/>
                <w:i/>
                <w:iCs/>
                <w:sz w:val="24"/>
                <w:szCs w:val="24"/>
              </w:rPr>
              <w:t>et al</w:t>
            </w:r>
            <w:r w:rsidRPr="00F53D05">
              <w:rPr>
                <w:rFonts w:cs="Times New Roman"/>
                <w:sz w:val="24"/>
                <w:szCs w:val="24"/>
              </w:rPr>
              <w:t xml:space="preserve"> 2020, Weiss </w:t>
            </w:r>
            <w:r w:rsidRPr="00F53D05">
              <w:rPr>
                <w:rFonts w:cs="Times New Roman"/>
                <w:i/>
                <w:iCs/>
                <w:sz w:val="24"/>
                <w:szCs w:val="24"/>
              </w:rPr>
              <w:t>et al</w:t>
            </w:r>
            <w:r w:rsidRPr="00F53D05">
              <w:rPr>
                <w:rFonts w:cs="Times New Roman"/>
                <w:sz w:val="24"/>
                <w:szCs w:val="24"/>
              </w:rPr>
              <w:t xml:space="preserve"> 2018)</w:t>
            </w:r>
            <w:r w:rsidRPr="00F53D05">
              <w:rPr>
                <w:rFonts w:cs="Times New Roman"/>
                <w:sz w:val="24"/>
                <w:szCs w:val="24"/>
              </w:rPr>
              <w:fldChar w:fldCharType="end"/>
            </w:r>
          </w:p>
        </w:tc>
        <w:tc>
          <w:tcPr>
            <w:tcW w:w="3476" w:type="dxa"/>
          </w:tcPr>
          <w:p w14:paraId="4D1B21A4" w14:textId="77777777" w:rsidR="009909E8" w:rsidRPr="00F53D05" w:rsidRDefault="009909E8" w:rsidP="00384FD3">
            <w:pPr>
              <w:pStyle w:val="Tabletext"/>
              <w:framePr w:hSpace="0" w:wrap="auto" w:vAnchor="margin" w:hAnchor="text" w:xAlign="left" w:yAlign="inline"/>
              <w:jc w:val="left"/>
              <w:rPr>
                <w:rFonts w:cs="Times New Roman"/>
                <w:sz w:val="24"/>
                <w:szCs w:val="24"/>
              </w:rPr>
            </w:pPr>
            <w:r w:rsidRPr="00F53D05">
              <w:rPr>
                <w:rFonts w:cs="Times New Roman"/>
                <w:sz w:val="24"/>
                <w:szCs w:val="24"/>
              </w:rPr>
              <w:t>Populated places (</w:t>
            </w:r>
            <w:r w:rsidR="00384FD3" w:rsidRPr="00F53D05">
              <w:rPr>
                <w:rFonts w:cs="Times New Roman"/>
                <w:sz w:val="24"/>
                <w:szCs w:val="24"/>
              </w:rPr>
              <w:t>World Resources Institute (WRI)</w:t>
            </w:r>
            <w:r w:rsidRPr="00F53D05">
              <w:rPr>
                <w:rFonts w:cs="Times New Roman"/>
                <w:sz w:val="24"/>
                <w:szCs w:val="24"/>
              </w:rPr>
              <w:t>), Ministry of En</w:t>
            </w:r>
            <w:r w:rsidR="00384FD3" w:rsidRPr="00F53D05">
              <w:rPr>
                <w:rFonts w:cs="Times New Roman"/>
                <w:sz w:val="24"/>
                <w:szCs w:val="24"/>
              </w:rPr>
              <w:t>vironment and Forestry, Republic of Indonesia</w:t>
            </w:r>
            <w:r w:rsidRPr="00F53D05">
              <w:rPr>
                <w:rFonts w:cs="Times New Roman"/>
                <w:sz w:val="24"/>
                <w:szCs w:val="24"/>
              </w:rPr>
              <w:t xml:space="preserve"> </w:t>
            </w:r>
            <w:r w:rsidRPr="00F53D05">
              <w:rPr>
                <w:rFonts w:cs="Times New Roman"/>
                <w:sz w:val="24"/>
                <w:szCs w:val="24"/>
              </w:rPr>
              <w:fldChar w:fldCharType="begin"/>
            </w:r>
            <w:r w:rsidR="00384FD3" w:rsidRPr="00F53D05">
              <w:rPr>
                <w:rFonts w:cs="Times New Roman"/>
                <w:sz w:val="24"/>
                <w:szCs w:val="24"/>
              </w:rPr>
              <w:instrText xml:space="preserve"> ADDIN ZOTERO_ITEM CSL_CITATION {"citationID":"Va4qcKUS","properties":{"formattedCitation":"(2011)","plainCitation":"(2011)","dontUpdate":true,"noteIndex":0},"citationItems":[{"id":8235,"uris":["http://zotero.org/users/1981608/items/H23WICLD"],"uri":["http://zotero.org/users/1981608/items/H23WICLD"],"itemData":{"id":8235,"type":"article","title":"Indonesian land cover map 1990-2013","URL":"http://webgis.menlhk.go.id:8080/pl/pl.htm","author":[{"family":"Ministry of Environment and Forestry","given":""}],"issued":{"date-parts":[["2015"]]}},"suppress-author":true}],"schema":"https://github.com/citation-style-language/schema/raw/master/csl-citation.json"} </w:instrText>
            </w:r>
            <w:r w:rsidRPr="00F53D05">
              <w:rPr>
                <w:rFonts w:cs="Times New Roman"/>
                <w:sz w:val="24"/>
                <w:szCs w:val="24"/>
              </w:rPr>
              <w:fldChar w:fldCharType="separate"/>
            </w:r>
            <w:r w:rsidR="00384FD3" w:rsidRPr="00F53D05">
              <w:rPr>
                <w:rFonts w:cs="Times New Roman"/>
                <w:sz w:val="24"/>
                <w:szCs w:val="24"/>
              </w:rPr>
              <w:t>(2013</w:t>
            </w:r>
            <w:r w:rsidRPr="00F53D05">
              <w:rPr>
                <w:rFonts w:cs="Times New Roman"/>
                <w:sz w:val="24"/>
                <w:szCs w:val="24"/>
              </w:rPr>
              <w:t>)</w:t>
            </w:r>
            <w:r w:rsidRPr="00F53D05">
              <w:rPr>
                <w:rFonts w:cs="Times New Roman"/>
                <w:sz w:val="24"/>
                <w:szCs w:val="24"/>
              </w:rPr>
              <w:fldChar w:fldCharType="end"/>
            </w:r>
            <w:r w:rsidRPr="00F53D05">
              <w:rPr>
                <w:rFonts w:cs="Times New Roman"/>
                <w:sz w:val="24"/>
                <w:szCs w:val="24"/>
              </w:rPr>
              <w:t xml:space="preserve">, Roads (WRI), Slope </w:t>
            </w:r>
            <w:r w:rsidRPr="00F53D05">
              <w:rPr>
                <w:rFonts w:cs="Times New Roman"/>
                <w:sz w:val="24"/>
                <w:szCs w:val="24"/>
              </w:rPr>
              <w:fldChar w:fldCharType="begin"/>
            </w:r>
            <w:r w:rsidR="00384FD3" w:rsidRPr="00F53D05">
              <w:rPr>
                <w:rFonts w:cs="Times New Roman"/>
                <w:sz w:val="24"/>
                <w:szCs w:val="24"/>
              </w:rPr>
              <w:instrText xml:space="preserve"> ADDIN ZOTERO_ITEM CSL_CITATION {"citationID":"Nj15qUf7","properties":{"formattedCitation":"(Farr {\\i{}et al} 2007)","plainCitation":"(Farr et al 2007)","noteIndex":0},"citationItems":[{"id":8236,"uris":["http://zotero.org/users/1981608/items/J89WDJ7M"],"uri":["http://zotero.org/users/1981608/items/J89WDJ7M"],"itemData":{"id":8236,"type":"article-journal","title":"The shuttle radar topography mission","container-title":"Reviews of geophysics","volume":"45","issue":"2","author":[{"family":"Farr","given":"Tom G."},{"family":"Rosen","given":"Paul A."},{"family":"Caro","given":"Edward"},{"family":"Crippen","given":"Robert"},{"family":"Duren","given":"Riley"},{"family":"Hensley","given":"Scott"},{"family":"Kobrick","given":"Michael"},{"family":"Paller","given":"Mimi"},{"family":"Rodriguez","given":"Ernesto"},{"family":"Roth","given":"Ladislav"}],"issued":{"date-parts":[["2007"]]}}}],"schema":"https://github.com/citation-style-language/schema/raw/master/csl-citation.json"} </w:instrText>
            </w:r>
            <w:r w:rsidRPr="00F53D05">
              <w:rPr>
                <w:rFonts w:cs="Times New Roman"/>
                <w:sz w:val="24"/>
                <w:szCs w:val="24"/>
              </w:rPr>
              <w:fldChar w:fldCharType="separate"/>
            </w:r>
            <w:r w:rsidR="00384FD3" w:rsidRPr="00F53D05">
              <w:rPr>
                <w:rFonts w:cs="Times New Roman"/>
                <w:sz w:val="24"/>
                <w:szCs w:val="24"/>
              </w:rPr>
              <w:t xml:space="preserve">(Farr </w:t>
            </w:r>
            <w:r w:rsidR="00384FD3" w:rsidRPr="00F53D05">
              <w:rPr>
                <w:rFonts w:cs="Times New Roman"/>
                <w:i/>
                <w:iCs/>
                <w:sz w:val="24"/>
                <w:szCs w:val="24"/>
              </w:rPr>
              <w:t>et al</w:t>
            </w:r>
            <w:r w:rsidR="00384FD3" w:rsidRPr="00F53D05">
              <w:rPr>
                <w:rFonts w:cs="Times New Roman"/>
                <w:sz w:val="24"/>
                <w:szCs w:val="24"/>
              </w:rPr>
              <w:t xml:space="preserve"> 2007)</w:t>
            </w:r>
            <w:r w:rsidRPr="00F53D05">
              <w:rPr>
                <w:rFonts w:cs="Times New Roman"/>
                <w:sz w:val="24"/>
                <w:szCs w:val="24"/>
              </w:rPr>
              <w:fldChar w:fldCharType="end"/>
            </w:r>
          </w:p>
        </w:tc>
        <w:tc>
          <w:tcPr>
            <w:tcW w:w="1559" w:type="dxa"/>
          </w:tcPr>
          <w:p w14:paraId="24E67BA7"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1990-2011</w:t>
            </w:r>
          </w:p>
        </w:tc>
      </w:tr>
      <w:tr w:rsidR="009909E8" w:rsidRPr="00F53D05" w14:paraId="7B92D426" w14:textId="77777777" w:rsidTr="000A5ECA">
        <w:tc>
          <w:tcPr>
            <w:tcW w:w="1701" w:type="dxa"/>
          </w:tcPr>
          <w:p w14:paraId="7B673CBC"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Human population pressure</w:t>
            </w:r>
          </w:p>
        </w:tc>
        <w:tc>
          <w:tcPr>
            <w:tcW w:w="3470" w:type="dxa"/>
          </w:tcPr>
          <w:p w14:paraId="4291F654"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Local population pressure (Σ = 1)</w:t>
            </w:r>
          </w:p>
        </w:tc>
        <w:tc>
          <w:tcPr>
            <w:tcW w:w="3476" w:type="dxa"/>
          </w:tcPr>
          <w:p w14:paraId="74A3BC12"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 xml:space="preserve">Accessibility, Rose et al. </w:t>
            </w:r>
            <w:r w:rsidRPr="00F53D05">
              <w:rPr>
                <w:rFonts w:cs="Times New Roman"/>
                <w:sz w:val="24"/>
                <w:szCs w:val="24"/>
              </w:rPr>
              <w:fldChar w:fldCharType="begin"/>
            </w:r>
            <w:r w:rsidRPr="00F53D05">
              <w:rPr>
                <w:rFonts w:cs="Times New Roman"/>
                <w:sz w:val="24"/>
                <w:szCs w:val="24"/>
              </w:rPr>
              <w:instrText xml:space="preserve"> ADDIN ZOTERO_ITEM CSL_CITATION {"citationID":"erD49mJ4","properties":{"formattedCitation":"(2018)","plainCitation":"(2018)","noteIndex":0},"citationItems":[{"id":8585,"uris":["http://zotero.org/users/1981608/items/KJZHLNEV"],"uri":["http://zotero.org/users/1981608/items/KJZHLNEV"],"itemData":{"id":8585,"type":"article","title":"LandScan 2017","publisher":"Oak Ridge National Laboratory","author":[{"family":"Rose","given":"Amy N."},{"family":"McKee","given":"Jacob J."},{"family":"Urban","given":"Marie L."},{"family":"Bright","given":"Eddie A."}],"issued":{"date-parts":[["2018",7,1]]}},"suppress-author":true}],"schema":"https://github.com/citation-style-language/schema/raw/master/csl-citation.json"} </w:instrText>
            </w:r>
            <w:r w:rsidRPr="00F53D05">
              <w:rPr>
                <w:rFonts w:cs="Times New Roman"/>
                <w:sz w:val="24"/>
                <w:szCs w:val="24"/>
              </w:rPr>
              <w:fldChar w:fldCharType="separate"/>
            </w:r>
            <w:r w:rsidRPr="00F53D05">
              <w:rPr>
                <w:rFonts w:cs="Times New Roman"/>
                <w:sz w:val="24"/>
                <w:szCs w:val="24"/>
              </w:rPr>
              <w:t>(2018)</w:t>
            </w:r>
            <w:r w:rsidRPr="00F53D05">
              <w:rPr>
                <w:rFonts w:cs="Times New Roman"/>
                <w:sz w:val="24"/>
                <w:szCs w:val="24"/>
              </w:rPr>
              <w:fldChar w:fldCharType="end"/>
            </w:r>
          </w:p>
        </w:tc>
        <w:tc>
          <w:tcPr>
            <w:tcW w:w="1559" w:type="dxa"/>
          </w:tcPr>
          <w:p w14:paraId="4872EA49"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1990-2017</w:t>
            </w:r>
          </w:p>
        </w:tc>
      </w:tr>
      <w:tr w:rsidR="009909E8" w:rsidRPr="00F53D05" w14:paraId="450284DA" w14:textId="77777777" w:rsidTr="000A5ECA">
        <w:tc>
          <w:tcPr>
            <w:tcW w:w="1701" w:type="dxa"/>
          </w:tcPr>
          <w:p w14:paraId="4AE1A9A5"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Main commodity</w:t>
            </w:r>
          </w:p>
        </w:tc>
        <w:tc>
          <w:tcPr>
            <w:tcW w:w="3470" w:type="dxa"/>
          </w:tcPr>
          <w:p w14:paraId="4E35F1E3"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Distance to an Indonesian village (</w:t>
            </w:r>
            <w:r w:rsidRPr="00F53D05">
              <w:rPr>
                <w:rFonts w:cs="Times New Roman"/>
                <w:i/>
                <w:sz w:val="24"/>
                <w:szCs w:val="24"/>
              </w:rPr>
              <w:t>Desa</w:t>
            </w:r>
            <w:r w:rsidRPr="00F53D05">
              <w:rPr>
                <w:rFonts w:cs="Times New Roman"/>
                <w:sz w:val="24"/>
                <w:szCs w:val="24"/>
              </w:rPr>
              <w:t>) (includes human settlements and surrounding land mapped by the Indonesian Bureau of Statistics) which derives income from staple food agricultural, plantation agriculture, non-agricultural or fisheries commodities</w:t>
            </w:r>
          </w:p>
        </w:tc>
        <w:tc>
          <w:tcPr>
            <w:tcW w:w="3476" w:type="dxa"/>
          </w:tcPr>
          <w:p w14:paraId="068D6E3B"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 xml:space="preserve">Indonesian Bureau of Statistics </w:t>
            </w:r>
            <w:r w:rsidRPr="00F53D05">
              <w:rPr>
                <w:rFonts w:cs="Times New Roman"/>
                <w:sz w:val="24"/>
                <w:szCs w:val="24"/>
              </w:rPr>
              <w:fldChar w:fldCharType="begin"/>
            </w:r>
            <w:r w:rsidRPr="00F53D05">
              <w:rPr>
                <w:rFonts w:cs="Times New Roman"/>
                <w:sz w:val="24"/>
                <w:szCs w:val="24"/>
              </w:rPr>
              <w:instrText xml:space="preserve"> ADDIN ZOTERO_ITEM CSL_CITATION {"citationID":"rcNxhh2S","properties":{"formattedCitation":"(2018)","plainCitation":"(2018)","noteIndex":0},"citationItems":[{"id":8233,"uris":["http://zotero.org/users/1981608/items/FKW9C779"],"uri":["http://zotero.org/users/1981608/items/FKW9C779"],"itemData":{"id":8233,"type":"article","title":"Indonesia - Pendataan Potensi Desa 2014","URL":"https://mikrodata.bps.go.id/mikrodata/index.php/catalog/599","author":[{"family":"Indonesian Bureau of Statistics","given":""}],"issued":{"date-parts":[["2018"]]}},"suppress-author":true}],"schema":"https://github.com/citation-style-language/schema/raw/master/csl-citation.json"} </w:instrText>
            </w:r>
            <w:r w:rsidRPr="00F53D05">
              <w:rPr>
                <w:rFonts w:cs="Times New Roman"/>
                <w:sz w:val="24"/>
                <w:szCs w:val="24"/>
              </w:rPr>
              <w:fldChar w:fldCharType="separate"/>
            </w:r>
            <w:r w:rsidRPr="00F53D05">
              <w:rPr>
                <w:rFonts w:cs="Times New Roman"/>
                <w:sz w:val="24"/>
                <w:szCs w:val="24"/>
              </w:rPr>
              <w:t>(2018)</w:t>
            </w:r>
            <w:r w:rsidRPr="00F53D05">
              <w:rPr>
                <w:rFonts w:cs="Times New Roman"/>
                <w:sz w:val="24"/>
                <w:szCs w:val="24"/>
              </w:rPr>
              <w:fldChar w:fldCharType="end"/>
            </w:r>
          </w:p>
        </w:tc>
        <w:tc>
          <w:tcPr>
            <w:tcW w:w="1559" w:type="dxa"/>
          </w:tcPr>
          <w:p w14:paraId="7ACA7BF6"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2018</w:t>
            </w:r>
          </w:p>
        </w:tc>
      </w:tr>
      <w:tr w:rsidR="009909E8" w:rsidRPr="00F53D05" w14:paraId="1C0A64CF" w14:textId="77777777" w:rsidTr="000A5ECA">
        <w:tc>
          <w:tcPr>
            <w:tcW w:w="1701" w:type="dxa"/>
          </w:tcPr>
          <w:p w14:paraId="0CAF7C09"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Transmigrant settlements</w:t>
            </w:r>
          </w:p>
        </w:tc>
        <w:tc>
          <w:tcPr>
            <w:tcW w:w="3470" w:type="dxa"/>
          </w:tcPr>
          <w:p w14:paraId="43361AC5"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Distance to settlements with an ethnic majority from outside of Wallacea</w:t>
            </w:r>
          </w:p>
        </w:tc>
        <w:tc>
          <w:tcPr>
            <w:tcW w:w="3476" w:type="dxa"/>
          </w:tcPr>
          <w:p w14:paraId="0DADC592"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 xml:space="preserve">Indonesian Bureau of Statistics </w:t>
            </w:r>
            <w:r w:rsidRPr="00F53D05">
              <w:rPr>
                <w:rFonts w:cs="Times New Roman"/>
                <w:sz w:val="24"/>
                <w:szCs w:val="24"/>
              </w:rPr>
              <w:fldChar w:fldCharType="begin"/>
            </w:r>
            <w:r w:rsidRPr="00F53D05">
              <w:rPr>
                <w:rFonts w:cs="Times New Roman"/>
                <w:sz w:val="24"/>
                <w:szCs w:val="24"/>
              </w:rPr>
              <w:instrText xml:space="preserve"> ADDIN ZOTERO_ITEM CSL_CITATION {"citationID":"owpHD20K","properties":{"formattedCitation":"(2011)","plainCitation":"(2011)","noteIndex":0},"citationItems":[{"id":8234,"uris":["http://zotero.org/users/1981608/items/TERNYR3T"],"uri":["http://zotero.org/users/1981608/items/TERNYR3T"],"itemData":{"id":8234,"type":"article","title":"Indonesia - Pendataan Potensi Desa 2008","URL":"https://mikrodata.bps.go.id/mikrodata/index.php/catalog/80","author":[{"family":"Indonesian Bureau of Statistics","given":""}],"issued":{"date-parts":[["2011"]]}},"suppress-author":true}],"schema":"https://github.com/citation-style-language/schema/raw/master/csl-citation.json"} </w:instrText>
            </w:r>
            <w:r w:rsidRPr="00F53D05">
              <w:rPr>
                <w:rFonts w:cs="Times New Roman"/>
                <w:sz w:val="24"/>
                <w:szCs w:val="24"/>
              </w:rPr>
              <w:fldChar w:fldCharType="separate"/>
            </w:r>
            <w:r w:rsidRPr="00F53D05">
              <w:rPr>
                <w:rFonts w:cs="Times New Roman"/>
                <w:sz w:val="24"/>
                <w:szCs w:val="24"/>
              </w:rPr>
              <w:t>(2011)</w:t>
            </w:r>
            <w:r w:rsidRPr="00F53D05">
              <w:rPr>
                <w:rFonts w:cs="Times New Roman"/>
                <w:sz w:val="24"/>
                <w:szCs w:val="24"/>
              </w:rPr>
              <w:fldChar w:fldCharType="end"/>
            </w:r>
            <w:r w:rsidRPr="00F53D05">
              <w:rPr>
                <w:rFonts w:cs="Times New Roman"/>
                <w:sz w:val="24"/>
                <w:szCs w:val="24"/>
              </w:rPr>
              <w:t xml:space="preserve">, Indonesian Ministry of Environment and Forestry </w:t>
            </w:r>
            <w:r w:rsidRPr="00F53D05">
              <w:rPr>
                <w:rFonts w:cs="Times New Roman"/>
                <w:sz w:val="24"/>
                <w:szCs w:val="24"/>
              </w:rPr>
              <w:fldChar w:fldCharType="begin"/>
            </w:r>
            <w:r w:rsidR="00384FD3" w:rsidRPr="00F53D05">
              <w:rPr>
                <w:rFonts w:cs="Times New Roman"/>
                <w:sz w:val="24"/>
                <w:szCs w:val="24"/>
              </w:rPr>
              <w:instrText xml:space="preserve"> ADDIN ZOTERO_ITEM CSL_CITATION {"citationID":"QczhlzRR","properties":{"formattedCitation":"(2015)","plainCitation":"(2015)","noteIndex":0},"citationItems":[{"id":8235,"uris":["http://zotero.org/users/1981608/items/H23WICLD"],"uri":["http://zotero.org/users/1981608/items/H23WICLD"],"itemData":{"id":8235,"type":"article","title":"Indonesian land cover map 1990-2013","URL":"http://webgis.menlhk.go.id:8080/pl/pl.htm","author":[{"family":"Ministry of Environment and Forestry","given":""}],"issued":{"date-parts":[["2015"]]}},"suppress-author":true}],"schema":"https://github.com/citation-style-language/schema/raw/master/csl-citation.json"} </w:instrText>
            </w:r>
            <w:r w:rsidRPr="00F53D05">
              <w:rPr>
                <w:rFonts w:cs="Times New Roman"/>
                <w:sz w:val="24"/>
                <w:szCs w:val="24"/>
              </w:rPr>
              <w:fldChar w:fldCharType="separate"/>
            </w:r>
            <w:r w:rsidR="00384FD3" w:rsidRPr="00F53D05">
              <w:rPr>
                <w:rFonts w:cs="Times New Roman"/>
                <w:sz w:val="24"/>
                <w:szCs w:val="24"/>
              </w:rPr>
              <w:t>(2015)</w:t>
            </w:r>
            <w:r w:rsidRPr="00F53D05">
              <w:rPr>
                <w:rFonts w:cs="Times New Roman"/>
                <w:sz w:val="24"/>
                <w:szCs w:val="24"/>
              </w:rPr>
              <w:fldChar w:fldCharType="end"/>
            </w:r>
          </w:p>
        </w:tc>
        <w:tc>
          <w:tcPr>
            <w:tcW w:w="1559" w:type="dxa"/>
          </w:tcPr>
          <w:p w14:paraId="5E8128E3"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2011</w:t>
            </w:r>
          </w:p>
        </w:tc>
      </w:tr>
      <w:tr w:rsidR="009909E8" w:rsidRPr="00F53D05" w14:paraId="2524B917" w14:textId="77777777" w:rsidTr="000A5ECA">
        <w:tc>
          <w:tcPr>
            <w:tcW w:w="1701" w:type="dxa"/>
          </w:tcPr>
          <w:p w14:paraId="55CA1298"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Mining</w:t>
            </w:r>
          </w:p>
        </w:tc>
        <w:tc>
          <w:tcPr>
            <w:tcW w:w="3470" w:type="dxa"/>
          </w:tcPr>
          <w:p w14:paraId="4438304E"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Exploration and production mining concessions (absence of mining concessions as reference)</w:t>
            </w:r>
          </w:p>
        </w:tc>
        <w:tc>
          <w:tcPr>
            <w:tcW w:w="3476" w:type="dxa"/>
          </w:tcPr>
          <w:p w14:paraId="3AA1E712" w14:textId="77777777" w:rsidR="009909E8" w:rsidRPr="00F53D05" w:rsidRDefault="00384FD3"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WRI</w:t>
            </w:r>
          </w:p>
        </w:tc>
        <w:tc>
          <w:tcPr>
            <w:tcW w:w="1559" w:type="dxa"/>
          </w:tcPr>
          <w:p w14:paraId="702A62FF"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2017</w:t>
            </w:r>
          </w:p>
        </w:tc>
      </w:tr>
      <w:tr w:rsidR="009909E8" w:rsidRPr="00F53D05" w14:paraId="39920572" w14:textId="77777777" w:rsidTr="000A5ECA">
        <w:tc>
          <w:tcPr>
            <w:tcW w:w="1701" w:type="dxa"/>
            <w:tcBorders>
              <w:bottom w:val="single" w:sz="4" w:space="0" w:color="auto"/>
            </w:tcBorders>
          </w:tcPr>
          <w:p w14:paraId="0CDD62ED"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Land-use</w:t>
            </w:r>
          </w:p>
        </w:tc>
        <w:tc>
          <w:tcPr>
            <w:tcW w:w="3470" w:type="dxa"/>
            <w:tcBorders>
              <w:bottom w:val="single" w:sz="4" w:space="0" w:color="auto"/>
            </w:tcBorders>
          </w:tcPr>
          <w:p w14:paraId="2428E116"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Non-forest areas (APL), production forests (HP, HPK), and limited production forests (HPT). Protected forests (CA, HSAW, KSPA, SM, TN, TAHURA, TNL, TWA, TWA/HW, TWAL, TB) as reference areas</w:t>
            </w:r>
          </w:p>
        </w:tc>
        <w:tc>
          <w:tcPr>
            <w:tcW w:w="3476" w:type="dxa"/>
            <w:tcBorders>
              <w:bottom w:val="single" w:sz="4" w:space="0" w:color="auto"/>
            </w:tcBorders>
          </w:tcPr>
          <w:p w14:paraId="4F4FCB4E"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 xml:space="preserve">Ministry of Forestry </w:t>
            </w:r>
            <w:r w:rsidRPr="00F53D05">
              <w:rPr>
                <w:rFonts w:cs="Times New Roman"/>
                <w:sz w:val="24"/>
                <w:szCs w:val="24"/>
              </w:rPr>
              <w:fldChar w:fldCharType="begin"/>
            </w:r>
            <w:r w:rsidRPr="00F53D05">
              <w:rPr>
                <w:rFonts w:cs="Times New Roman"/>
                <w:sz w:val="24"/>
                <w:szCs w:val="24"/>
              </w:rPr>
              <w:instrText xml:space="preserve"> ADDIN ZOTERO_ITEM CSL_CITATION {"citationID":"g6M8TIye","properties":{"formattedCitation":"(2010)","plainCitation":"(2010)","noteIndex":0},"citationItems":[{"id":8240,"uris":["http://zotero.org/users/1981608/items/I2QVBXQ3"],"uri":["http://zotero.org/users/1981608/items/I2QVBXQ3"],"itemData":{"id":8240,"type":"article","title":"Landuse maps (provincial planning maps/Forest Land Use by Consensus maps (TGHK)","URL":"https://gis-gfw.wri.org/arcgis/rest/services/commodities/MapServer/13","author":[{"family":"Ministry of Forestry","given":"General Direktorat of Planning"}],"issued":{"date-parts":[["2010"]]}},"suppress-author":true}],"schema":"https://github.com/citation-style-language/schema/raw/master/csl-citation.json"} </w:instrText>
            </w:r>
            <w:r w:rsidRPr="00F53D05">
              <w:rPr>
                <w:rFonts w:cs="Times New Roman"/>
                <w:sz w:val="24"/>
                <w:szCs w:val="24"/>
              </w:rPr>
              <w:fldChar w:fldCharType="separate"/>
            </w:r>
            <w:r w:rsidRPr="00F53D05">
              <w:rPr>
                <w:rFonts w:cs="Times New Roman"/>
                <w:sz w:val="24"/>
                <w:szCs w:val="24"/>
              </w:rPr>
              <w:t>(2010)</w:t>
            </w:r>
            <w:r w:rsidRPr="00F53D05">
              <w:rPr>
                <w:rFonts w:cs="Times New Roman"/>
                <w:sz w:val="24"/>
                <w:szCs w:val="24"/>
              </w:rPr>
              <w:fldChar w:fldCharType="end"/>
            </w:r>
          </w:p>
        </w:tc>
        <w:tc>
          <w:tcPr>
            <w:tcW w:w="1559" w:type="dxa"/>
            <w:tcBorders>
              <w:bottom w:val="single" w:sz="4" w:space="0" w:color="auto"/>
            </w:tcBorders>
          </w:tcPr>
          <w:p w14:paraId="43373FA9" w14:textId="77777777" w:rsidR="009909E8" w:rsidRPr="00F53D05" w:rsidRDefault="009909E8" w:rsidP="000A5ECA">
            <w:pPr>
              <w:pStyle w:val="Tabletext"/>
              <w:framePr w:hSpace="0" w:wrap="auto" w:vAnchor="margin" w:hAnchor="text" w:xAlign="left" w:yAlign="inline"/>
              <w:jc w:val="left"/>
              <w:rPr>
                <w:rFonts w:cs="Times New Roman"/>
                <w:sz w:val="24"/>
                <w:szCs w:val="24"/>
              </w:rPr>
            </w:pPr>
            <w:r w:rsidRPr="00F53D05">
              <w:rPr>
                <w:rFonts w:cs="Times New Roman"/>
                <w:sz w:val="24"/>
                <w:szCs w:val="24"/>
              </w:rPr>
              <w:t>2010</w:t>
            </w:r>
          </w:p>
        </w:tc>
      </w:tr>
    </w:tbl>
    <w:p w14:paraId="31E7B218" w14:textId="77777777" w:rsidR="009909E8" w:rsidRPr="00F53D05" w:rsidRDefault="009909E8" w:rsidP="009909E8">
      <w:pPr>
        <w:rPr>
          <w:rFonts w:ascii="Times New Roman" w:hAnsi="Times New Roman" w:cs="Times New Roman"/>
          <w:sz w:val="24"/>
          <w:szCs w:val="24"/>
        </w:rPr>
      </w:pPr>
    </w:p>
    <w:p w14:paraId="20A807BB"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3. Additional related data collected that was not included in the current data package:</w:t>
      </w:r>
    </w:p>
    <w:p w14:paraId="693D4F92" w14:textId="77777777" w:rsidR="009909E8" w:rsidRPr="00F53D05" w:rsidRDefault="00384FD3" w:rsidP="009909E8">
      <w:pPr>
        <w:rPr>
          <w:rFonts w:ascii="Times New Roman" w:hAnsi="Times New Roman" w:cs="Times New Roman"/>
          <w:sz w:val="24"/>
          <w:szCs w:val="24"/>
        </w:rPr>
      </w:pPr>
      <w:r w:rsidRPr="00F53D05">
        <w:rPr>
          <w:rFonts w:ascii="Times New Roman" w:hAnsi="Times New Roman" w:cs="Times New Roman"/>
          <w:sz w:val="24"/>
          <w:szCs w:val="24"/>
        </w:rPr>
        <w:t>See Table 1</w:t>
      </w:r>
    </w:p>
    <w:p w14:paraId="70228E8B" w14:textId="77777777" w:rsidR="009909E8" w:rsidRPr="00F53D05" w:rsidRDefault="009909E8" w:rsidP="009909E8">
      <w:pPr>
        <w:rPr>
          <w:rFonts w:ascii="Times New Roman" w:hAnsi="Times New Roman" w:cs="Times New Roman"/>
          <w:sz w:val="24"/>
          <w:szCs w:val="24"/>
        </w:rPr>
      </w:pPr>
    </w:p>
    <w:p w14:paraId="78C36A05"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4. Are there multiple versions of the dataset? No</w:t>
      </w:r>
    </w:p>
    <w:p w14:paraId="7BC74802" w14:textId="77777777" w:rsidR="009909E8" w:rsidRPr="00F53D05" w:rsidRDefault="009909E8" w:rsidP="009909E8">
      <w:pPr>
        <w:rPr>
          <w:rFonts w:ascii="Times New Roman" w:hAnsi="Times New Roman" w:cs="Times New Roman"/>
          <w:sz w:val="24"/>
          <w:szCs w:val="24"/>
        </w:rPr>
      </w:pPr>
    </w:p>
    <w:p w14:paraId="27228138" w14:textId="77777777" w:rsidR="009909E8" w:rsidRPr="00F53D05" w:rsidRDefault="009909E8" w:rsidP="009909E8">
      <w:pPr>
        <w:rPr>
          <w:rFonts w:ascii="Times New Roman" w:hAnsi="Times New Roman" w:cs="Times New Roman"/>
          <w:b/>
          <w:sz w:val="24"/>
          <w:szCs w:val="24"/>
        </w:rPr>
      </w:pPr>
      <w:r w:rsidRPr="00F53D05">
        <w:rPr>
          <w:rFonts w:ascii="Times New Roman" w:hAnsi="Times New Roman" w:cs="Times New Roman"/>
          <w:b/>
          <w:sz w:val="24"/>
          <w:szCs w:val="24"/>
        </w:rPr>
        <w:t>METHODOLOGICAL INFORMATION</w:t>
      </w:r>
    </w:p>
    <w:p w14:paraId="71C40AFF"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1. Description of methods used for </w:t>
      </w:r>
      <w:r w:rsidR="00384FD3" w:rsidRPr="00F53D05">
        <w:rPr>
          <w:rFonts w:ascii="Times New Roman" w:hAnsi="Times New Roman" w:cs="Times New Roman"/>
          <w:sz w:val="24"/>
          <w:szCs w:val="24"/>
        </w:rPr>
        <w:t xml:space="preserve">collection/generation of data: </w:t>
      </w:r>
    </w:p>
    <w:p w14:paraId="08E6C7AF"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lastRenderedPageBreak/>
        <w:t>Description of forest definition, processing and modelling procedure in Voigt et al. 2021 (https://kar.kent.ac.u</w:t>
      </w:r>
      <w:r w:rsidR="00384FD3" w:rsidRPr="00F53D05">
        <w:rPr>
          <w:rFonts w:ascii="Times New Roman" w:hAnsi="Times New Roman" w:cs="Times New Roman"/>
          <w:sz w:val="24"/>
          <w:szCs w:val="24"/>
        </w:rPr>
        <w:t>k/89330/ ) and accompanying SI:</w:t>
      </w:r>
    </w:p>
    <w:p w14:paraId="18873F8C" w14:textId="77777777" w:rsidR="00384FD3" w:rsidRPr="00F53D05" w:rsidRDefault="00384FD3" w:rsidP="00384FD3">
      <w:pPr>
        <w:pStyle w:val="Heading2"/>
        <w:rPr>
          <w:rFonts w:cs="Times New Roman"/>
          <w:szCs w:val="24"/>
        </w:rPr>
      </w:pPr>
      <w:r w:rsidRPr="00F53D05">
        <w:rPr>
          <w:rFonts w:cs="Times New Roman"/>
          <w:szCs w:val="24"/>
        </w:rPr>
        <w:t>Processing of deforestation model predictors</w:t>
      </w:r>
    </w:p>
    <w:p w14:paraId="179D8F77" w14:textId="77777777" w:rsidR="00384FD3" w:rsidRPr="00F53D05" w:rsidRDefault="00384FD3" w:rsidP="00384FD3">
      <w:pPr>
        <w:spacing w:line="480" w:lineRule="auto"/>
        <w:rPr>
          <w:rFonts w:ascii="Times New Roman" w:hAnsi="Times New Roman" w:cs="Times New Roman"/>
          <w:color w:val="000000" w:themeColor="text1"/>
          <w:sz w:val="24"/>
          <w:szCs w:val="24"/>
        </w:rPr>
      </w:pPr>
      <w:r w:rsidRPr="00F53D05">
        <w:rPr>
          <w:rFonts w:ascii="Times New Roman" w:hAnsi="Times New Roman" w:cs="Times New Roman"/>
          <w:color w:val="000000" w:themeColor="text1"/>
          <w:sz w:val="24"/>
          <w:szCs w:val="24"/>
        </w:rPr>
        <w:t xml:space="preserve">All layers </w:t>
      </w:r>
      <w:r w:rsidR="00FE5CFD" w:rsidRPr="00F53D05">
        <w:rPr>
          <w:rFonts w:ascii="Times New Roman" w:hAnsi="Times New Roman" w:cs="Times New Roman"/>
          <w:color w:val="000000" w:themeColor="text1"/>
          <w:sz w:val="24"/>
          <w:szCs w:val="24"/>
        </w:rPr>
        <w:t xml:space="preserve">used </w:t>
      </w:r>
      <w:r w:rsidRPr="00F53D05">
        <w:rPr>
          <w:rFonts w:ascii="Times New Roman" w:hAnsi="Times New Roman" w:cs="Times New Roman"/>
          <w:color w:val="000000" w:themeColor="text1"/>
          <w:sz w:val="24"/>
          <w:szCs w:val="24"/>
        </w:rPr>
        <w:t xml:space="preserve">were converted to the Asia South Albers Equal Area Conic projection and resampled to the same extent and origin at 180 x 180 m pixel size (bilinear for continuous predictors, and nearest-neighbour resampling for categorical). All spatial manipulations were performed in Python </w:t>
      </w:r>
      <w:r w:rsidRPr="00F53D05">
        <w:rPr>
          <w:rFonts w:ascii="Times New Roman" w:hAnsi="Times New Roman" w:cs="Times New Roman"/>
          <w:color w:val="000000" w:themeColor="text1"/>
          <w:sz w:val="24"/>
          <w:szCs w:val="24"/>
        </w:rPr>
        <w:fldChar w:fldCharType="begin"/>
      </w:r>
      <w:r w:rsidRPr="00F53D05">
        <w:rPr>
          <w:rFonts w:ascii="Times New Roman" w:hAnsi="Times New Roman" w:cs="Times New Roman"/>
          <w:color w:val="000000" w:themeColor="text1"/>
          <w:sz w:val="24"/>
          <w:szCs w:val="24"/>
        </w:rPr>
        <w:instrText xml:space="preserve"> ADDIN ZOTERO_ITEM CSL_CITATION {"citationID":"eNYwve4p","properties":{"formattedCitation":"(Python Software Foundation 2019)","plainCitation":"(Python Software Foundation 2019)","noteIndex":0},"citationItems":[{"id":8868,"uris":["http://zotero.org/users/1981608/items/ZCDGHDEL"],"uri":["http://zotero.org/users/1981608/items/ZCDGHDEL"],"itemData":{"id":8868,"type":"book","title":"Python Language Reference version 3.7","URL":"http://www.python.org​","author":[{"literal":"Python Software Foundation"}],"issued":{"date-parts":[["2019"]]}}}],"schema":"https://github.com/citation-style-language/schema/raw/master/csl-citation.json"} </w:instrText>
      </w:r>
      <w:r w:rsidRPr="00F53D05">
        <w:rPr>
          <w:rFonts w:ascii="Times New Roman" w:hAnsi="Times New Roman" w:cs="Times New Roman"/>
          <w:color w:val="000000" w:themeColor="text1"/>
          <w:sz w:val="24"/>
          <w:szCs w:val="24"/>
        </w:rPr>
        <w:fldChar w:fldCharType="separate"/>
      </w:r>
      <w:r w:rsidRPr="00F53D05">
        <w:rPr>
          <w:rFonts w:ascii="Times New Roman" w:hAnsi="Times New Roman" w:cs="Times New Roman"/>
          <w:sz w:val="24"/>
          <w:szCs w:val="24"/>
        </w:rPr>
        <w:t>(Python Software Foundation 2019)</w:t>
      </w:r>
      <w:r w:rsidRPr="00F53D05">
        <w:rPr>
          <w:rFonts w:ascii="Times New Roman" w:hAnsi="Times New Roman" w:cs="Times New Roman"/>
          <w:color w:val="000000" w:themeColor="text1"/>
          <w:sz w:val="24"/>
          <w:szCs w:val="24"/>
        </w:rPr>
        <w:fldChar w:fldCharType="end"/>
      </w:r>
      <w:r w:rsidRPr="00F53D05">
        <w:rPr>
          <w:rFonts w:ascii="Times New Roman" w:hAnsi="Times New Roman" w:cs="Times New Roman"/>
          <w:color w:val="000000" w:themeColor="text1"/>
          <w:sz w:val="24"/>
          <w:szCs w:val="24"/>
        </w:rPr>
        <w:t xml:space="preserve">, and aggregated, analysed and visualized in Python, R </w:t>
      </w:r>
      <w:r w:rsidRPr="00F53D05">
        <w:rPr>
          <w:rFonts w:ascii="Times New Roman" w:hAnsi="Times New Roman" w:cs="Times New Roman"/>
          <w:color w:val="000000" w:themeColor="text1"/>
          <w:sz w:val="24"/>
          <w:szCs w:val="24"/>
        </w:rPr>
        <w:fldChar w:fldCharType="begin"/>
      </w:r>
      <w:r w:rsidRPr="00F53D05">
        <w:rPr>
          <w:rFonts w:ascii="Times New Roman" w:hAnsi="Times New Roman" w:cs="Times New Roman"/>
          <w:color w:val="000000" w:themeColor="text1"/>
          <w:sz w:val="24"/>
          <w:szCs w:val="24"/>
        </w:rPr>
        <w:instrText xml:space="preserve"> ADDIN ZOTERO_ITEM CSL_CITATION {"citationID":"PFRUTbSP","properties":{"formattedCitation":"(R Core Team 2020)","plainCitation":"(R Core Team 2020)","noteIndex":0},"citationItems":[{"id":5492,"uris":["http://zotero.org/users/1981608/items/MIHGBM8C"],"uri":["http://zotero.org/users/1981608/items/MIHGBM8C"],"itemData":{"id":5492,"type":"book","title":"R: A language and environment for statistical computing.","publisher":"R Foundation for Statistical Computing","publisher-place":"Vienna, Austria","version":"3 &amp; 4","event-place":"Vienna, Austria","URL":"https://www.R-project.org/","author":[{"family":"R Core Team","given":""}],"issued":{"date-parts":[["2020"]]}}}],"schema":"https://github.com/citation-style-language/schema/raw/master/csl-citation.json"} </w:instrText>
      </w:r>
      <w:r w:rsidRPr="00F53D05">
        <w:rPr>
          <w:rFonts w:ascii="Times New Roman" w:hAnsi="Times New Roman" w:cs="Times New Roman"/>
          <w:color w:val="000000" w:themeColor="text1"/>
          <w:sz w:val="24"/>
          <w:szCs w:val="24"/>
        </w:rPr>
        <w:fldChar w:fldCharType="separate"/>
      </w:r>
      <w:r w:rsidRPr="00F53D05">
        <w:rPr>
          <w:rFonts w:ascii="Times New Roman" w:hAnsi="Times New Roman" w:cs="Times New Roman"/>
          <w:sz w:val="24"/>
          <w:szCs w:val="24"/>
        </w:rPr>
        <w:t>(R Core Team 2020)</w:t>
      </w:r>
      <w:r w:rsidRPr="00F53D05">
        <w:rPr>
          <w:rFonts w:ascii="Times New Roman" w:hAnsi="Times New Roman" w:cs="Times New Roman"/>
          <w:color w:val="000000" w:themeColor="text1"/>
          <w:sz w:val="24"/>
          <w:szCs w:val="24"/>
        </w:rPr>
        <w:fldChar w:fldCharType="end"/>
      </w:r>
      <w:r w:rsidRPr="00F53D05">
        <w:rPr>
          <w:rFonts w:ascii="Times New Roman" w:hAnsi="Times New Roman" w:cs="Times New Roman"/>
          <w:color w:val="000000" w:themeColor="text1"/>
          <w:sz w:val="24"/>
          <w:szCs w:val="24"/>
        </w:rPr>
        <w:t xml:space="preserve"> and ArcGIS Pro </w:t>
      </w:r>
      <w:r w:rsidRPr="00F53D05">
        <w:rPr>
          <w:rFonts w:ascii="Times New Roman" w:hAnsi="Times New Roman" w:cs="Times New Roman"/>
          <w:color w:val="000000" w:themeColor="text1"/>
          <w:sz w:val="24"/>
          <w:szCs w:val="24"/>
        </w:rPr>
        <w:fldChar w:fldCharType="begin"/>
      </w:r>
      <w:r w:rsidRPr="00F53D05">
        <w:rPr>
          <w:rFonts w:ascii="Times New Roman" w:hAnsi="Times New Roman" w:cs="Times New Roman"/>
          <w:color w:val="000000" w:themeColor="text1"/>
          <w:sz w:val="24"/>
          <w:szCs w:val="24"/>
        </w:rPr>
        <w:instrText xml:space="preserve"> ADDIN ZOTERO_ITEM CSL_CITATION {"citationID":"IVbmMml6","properties":{"formattedCitation":"(Esri 2020)","plainCitation":"(Esri 2020)","noteIndex":0},"citationItems":[{"id":8695,"uris":["http://zotero.org/users/1981608/items/DN5MFQR6"],"uri":["http://zotero.org/users/1981608/items/DN5MFQR6"],"itemData":{"id":8695,"type":"book","title":"ArcGIS Pro 2.x","publisher-place":"Redlands, CA: Environmental Systems Research Institute","version":"2.6.0","event-place":"Redlands, CA: Environmental Systems Research Institute","URL":"www.esri.com/en-us/arcgis/products/arcgis-pro/","author":[{"family":"Esri","given":""}],"issued":{"date-parts":[["2020"]]}}}],"schema":"https://github.com/citation-style-language/schema/raw/master/csl-citation.json"} </w:instrText>
      </w:r>
      <w:r w:rsidRPr="00F53D05">
        <w:rPr>
          <w:rFonts w:ascii="Times New Roman" w:hAnsi="Times New Roman" w:cs="Times New Roman"/>
          <w:color w:val="000000" w:themeColor="text1"/>
          <w:sz w:val="24"/>
          <w:szCs w:val="24"/>
        </w:rPr>
        <w:fldChar w:fldCharType="separate"/>
      </w:r>
      <w:r w:rsidRPr="00F53D05">
        <w:rPr>
          <w:rFonts w:ascii="Times New Roman" w:hAnsi="Times New Roman" w:cs="Times New Roman"/>
          <w:sz w:val="24"/>
          <w:szCs w:val="24"/>
        </w:rPr>
        <w:t>(Esri 2020)</w:t>
      </w:r>
      <w:r w:rsidRPr="00F53D05">
        <w:rPr>
          <w:rFonts w:ascii="Times New Roman" w:hAnsi="Times New Roman" w:cs="Times New Roman"/>
          <w:color w:val="000000" w:themeColor="text1"/>
          <w:sz w:val="24"/>
          <w:szCs w:val="24"/>
        </w:rPr>
        <w:fldChar w:fldCharType="end"/>
      </w:r>
      <w:r w:rsidRPr="00F53D05">
        <w:rPr>
          <w:rFonts w:ascii="Times New Roman" w:hAnsi="Times New Roman" w:cs="Times New Roman"/>
          <w:color w:val="000000" w:themeColor="text1"/>
          <w:sz w:val="24"/>
          <w:szCs w:val="24"/>
        </w:rPr>
        <w:t>.</w:t>
      </w:r>
      <w:bookmarkStart w:id="21" w:name="_GoBack"/>
      <w:bookmarkEnd w:id="21"/>
    </w:p>
    <w:p w14:paraId="12958526" w14:textId="77777777" w:rsidR="00384FD3" w:rsidRPr="00F53D05" w:rsidRDefault="00384FD3" w:rsidP="00384FD3">
      <w:pPr>
        <w:pStyle w:val="Heading2"/>
        <w:rPr>
          <w:rFonts w:cs="Times New Roman"/>
          <w:szCs w:val="24"/>
        </w:rPr>
      </w:pPr>
      <w:r w:rsidRPr="00F53D05">
        <w:rPr>
          <w:rFonts w:cs="Times New Roman"/>
          <w:szCs w:val="24"/>
        </w:rPr>
        <w:t>Forest definition</w:t>
      </w:r>
    </w:p>
    <w:p w14:paraId="0D21D022" w14:textId="77777777" w:rsidR="00384FD3" w:rsidRPr="00F53D05" w:rsidRDefault="00384FD3" w:rsidP="00384FD3">
      <w:pPr>
        <w:spacing w:line="480" w:lineRule="auto"/>
        <w:rPr>
          <w:rFonts w:ascii="Times New Roman" w:hAnsi="Times New Roman" w:cs="Times New Roman"/>
          <w:color w:val="000000" w:themeColor="text1"/>
          <w:sz w:val="24"/>
          <w:szCs w:val="24"/>
        </w:rPr>
      </w:pPr>
      <w:r w:rsidRPr="00F53D05">
        <w:rPr>
          <w:rFonts w:ascii="Times New Roman" w:hAnsi="Times New Roman" w:cs="Times New Roman"/>
          <w:color w:val="000000" w:themeColor="text1"/>
          <w:sz w:val="24"/>
          <w:szCs w:val="24"/>
        </w:rPr>
        <w:t xml:space="preserve">We defined deforestation as the annual loss of forest including mangroves </w:t>
      </w:r>
      <w:r w:rsidRPr="00F53D05">
        <w:rPr>
          <w:rFonts w:ascii="Times New Roman" w:hAnsi="Times New Roman" w:cs="Times New Roman"/>
          <w:color w:val="000000" w:themeColor="text1"/>
          <w:sz w:val="24"/>
          <w:szCs w:val="24"/>
        </w:rPr>
        <w:fldChar w:fldCharType="begin"/>
      </w:r>
      <w:r w:rsidRPr="00F53D05">
        <w:rPr>
          <w:rFonts w:ascii="Times New Roman" w:hAnsi="Times New Roman" w:cs="Times New Roman"/>
          <w:color w:val="000000" w:themeColor="text1"/>
          <w:sz w:val="24"/>
          <w:szCs w:val="24"/>
        </w:rPr>
        <w:instrText xml:space="preserve"> ADDIN ZOTERO_ITEM CSL_CITATION {"citationID":"Bs9Ko7e5","properties":{"formattedCitation":"(Giri {\\i{}et al} 2011, Margono {\\i{}et al} 2014)","plainCitation":"(Giri et al 2011, Margono et al 2014)","noteIndex":0},"citationItems":[{"id":8054,"uris":["http://zotero.org/users/1981608/items/CJV2ASXN"],"uri":["http://zotero.org/users/1981608/items/CJV2ASXN"],"itemData":{"id":8054,"type":"article-journal","title":"Status and distribution of mangrove forests of the world using earth observation satellite data","container-title":"Global Ecology and Biogeography","page":"154-159","volume":"20","issue":"1","source":"Wiley Online Library","abstract":"Aim Our scientific understanding of the extent and distribution of mangrove forests of the world is inadequate. The available global mangrove databases, compiled using disparate geospatial data sources and national statistics, need to be improved. Here, we mapped the status and distributions of global mangroves using recently available Global Land Survey (GLS) data and the Landsat archive. Methods We interpreted approximately 1000 Landsat scenes using hybrid supervised and unsupervised digital image classification techniques. Each image was normalized for variation in solar angle and earth–sun distance by converting the digital number values to the top-of-the-atmosphere reflectance. Ground truth data and existing maps and databases were used to select training samples and also for iterative labelling. Results were validated using existing GIS data and the published literature to map ‘true mangroves’. Results The total area of mangroves in the year 2000 was 137,760 km2 in 118 countries and territories in the tropical and subtropical regions of the world. Approximately 75% of world's mangroves are found in just 15 countries, and only 6.9% are protected under the existing protected areas network (IUCN I-IV). Our study confirms earlier findings that the biogeographic distribution of mangroves is generally confined to the tropical and subtropical regions and the largest percentage of mangroves is found between 5° N and 5° S latitude. Main conclusions We report that the remaining area of mangrove forest in the world is less than previously thought. Our estimate is 12.3% smaller than the most recent estimate by the Food and Agriculture Organization (FAO) of the United Nations. We present the most comprehensive, globally consistent and highest resolution (30 m) global mangrove database ever created. We developed and used better mapping techniques and data sources and mapped mangroves with better spatial and thematic details than previous studies.","DOI":"10.1111/j.1466-8238.2010.00584.x","ISSN":"1466-8238","language":"en","author":[{"family":"Giri","given":"C."},{"family":"Ochieng","given":"E."},{"family":"Tieszen","given":"L. L."},{"family":"Zhu","given":"Z."},{"family":"Singh","given":"A."},{"family":"Loveland","given":"T."},{"family":"Masek","given":"J."},{"family":"Duke","given":"N."}],"issued":{"date-parts":[["2011"]]}}},{"id":"ZcccPaRO/l3mkjivF","uris":["http://zotero.org/users/1981608/items/ZZCUVEKW"],"uri":["http://zotero.org/users/1981608/items/ZZCUVEKW"],"itemData":{"id":5573,"type":"article-journal","title":"Primary forest cover loss in Indonesia over 2000-2012","container-title":"Nature Climate Change","page":"730-735","volume":"4","issue":"8","source":"www.nature.com","abstract":"Extensive clearing of Indonesian primary forests results in increased greenhouse gas emissions and biodiversity loss. However, there is no consensus on the areal extent and temporal trends of primary forest clearing in Indonesia. Here we report a spatially and temporally explicit quantification of Indonesian primary forest loss, which totalled over 6.02 Mha from 2000 to 2012 and increased on average by 47,600 ha per year. By 2012, annual primary forest loss in Indonesia was estimated to be higher than in Brazil (0.84 Mha and 0.46 Mha, respectively). Proportional loss of primary forests in wetland landforms increased and almost all clearing of primary forests occurred within degraded types, meaning logging preceded conversion processes. Loss within official forest land uses that restrict or prohibit clearing totalled 40% of all loss within national forest land. The increasing loss of Indonesian primary forests has significant implications for climate change mitigation and biodiversity conservation efforts.","DOI":"10.1038/nclimate2277","ISSN":"1758-678X","journalAbbreviation":"Nature Clim. Change","language":"en","author":[{"family":"Margono","given":"Belinda Arunarwati"},{"family":"Potapov","given":"Peter V."},{"family":"Turubanova","given":"Svetlana"},{"family":"Stolle","given":"Fred"},{"family":"Hansen","given":"Matthew C."}],"issued":{"date-parts":[["2014",8]]}}}],"schema":"https://github.com/citation-style-language/schema/raw/master/csl-citation.json"} </w:instrText>
      </w:r>
      <w:r w:rsidRPr="00F53D05">
        <w:rPr>
          <w:rFonts w:ascii="Times New Roman" w:hAnsi="Times New Roman" w:cs="Times New Roman"/>
          <w:color w:val="000000" w:themeColor="text1"/>
          <w:sz w:val="24"/>
          <w:szCs w:val="24"/>
        </w:rPr>
        <w:fldChar w:fldCharType="separate"/>
      </w:r>
      <w:r w:rsidRPr="00F53D05">
        <w:rPr>
          <w:rFonts w:ascii="Times New Roman" w:hAnsi="Times New Roman" w:cs="Times New Roman"/>
          <w:color w:val="000000" w:themeColor="text1"/>
          <w:sz w:val="24"/>
          <w:szCs w:val="24"/>
        </w:rPr>
        <w:t xml:space="preserve">(Giri </w:t>
      </w:r>
      <w:r w:rsidRPr="00F53D05">
        <w:rPr>
          <w:rFonts w:ascii="Times New Roman" w:hAnsi="Times New Roman" w:cs="Times New Roman"/>
          <w:i/>
          <w:iCs/>
          <w:color w:val="000000" w:themeColor="text1"/>
          <w:sz w:val="24"/>
          <w:szCs w:val="24"/>
        </w:rPr>
        <w:t>et al</w:t>
      </w:r>
      <w:r w:rsidRPr="00F53D05">
        <w:rPr>
          <w:rFonts w:ascii="Times New Roman" w:hAnsi="Times New Roman" w:cs="Times New Roman"/>
          <w:color w:val="000000" w:themeColor="text1"/>
          <w:sz w:val="24"/>
          <w:szCs w:val="24"/>
        </w:rPr>
        <w:t xml:space="preserve"> 2011, Margono </w:t>
      </w:r>
      <w:r w:rsidRPr="00F53D05">
        <w:rPr>
          <w:rFonts w:ascii="Times New Roman" w:hAnsi="Times New Roman" w:cs="Times New Roman"/>
          <w:i/>
          <w:iCs/>
          <w:color w:val="000000" w:themeColor="text1"/>
          <w:sz w:val="24"/>
          <w:szCs w:val="24"/>
        </w:rPr>
        <w:t>et al</w:t>
      </w:r>
      <w:r w:rsidRPr="00F53D05">
        <w:rPr>
          <w:rFonts w:ascii="Times New Roman" w:hAnsi="Times New Roman" w:cs="Times New Roman"/>
          <w:color w:val="000000" w:themeColor="text1"/>
          <w:sz w:val="24"/>
          <w:szCs w:val="24"/>
        </w:rPr>
        <w:t xml:space="preserve"> 2014)</w:t>
      </w:r>
      <w:r w:rsidRPr="00F53D05">
        <w:rPr>
          <w:rFonts w:ascii="Times New Roman" w:hAnsi="Times New Roman" w:cs="Times New Roman"/>
          <w:color w:val="000000" w:themeColor="text1"/>
          <w:sz w:val="24"/>
          <w:szCs w:val="24"/>
        </w:rPr>
        <w:fldChar w:fldCharType="end"/>
      </w:r>
      <w:r w:rsidRPr="00F53D05">
        <w:rPr>
          <w:rFonts w:ascii="Times New Roman" w:hAnsi="Times New Roman" w:cs="Times New Roman"/>
          <w:color w:val="000000" w:themeColor="text1"/>
          <w:sz w:val="24"/>
          <w:szCs w:val="24"/>
        </w:rPr>
        <w:t xml:space="preserve">. Primary forest was defined as mature natural forest with an extent &gt;5 ha, and a natural composition and structure that has not been cleared in recent history </w:t>
      </w:r>
      <w:r w:rsidRPr="00F53D05">
        <w:rPr>
          <w:rFonts w:ascii="Times New Roman" w:hAnsi="Times New Roman" w:cs="Times New Roman"/>
          <w:color w:val="000000" w:themeColor="text1"/>
          <w:sz w:val="24"/>
          <w:szCs w:val="24"/>
        </w:rPr>
        <w:fldChar w:fldCharType="begin"/>
      </w:r>
      <w:r w:rsidRPr="00F53D05">
        <w:rPr>
          <w:rFonts w:ascii="Times New Roman" w:hAnsi="Times New Roman" w:cs="Times New Roman"/>
          <w:color w:val="000000" w:themeColor="text1"/>
          <w:sz w:val="24"/>
          <w:szCs w:val="24"/>
        </w:rPr>
        <w:instrText xml:space="preserve"> ADDIN ZOTERO_ITEM CSL_CITATION {"citationID":"86QTMSc5","properties":{"formattedCitation":"(Margono {\\i{}et al} 2014)","plainCitation":"(Margono et al 2014)","noteIndex":0},"citationItems":[{"id":"ZcccPaRO/l3mkjivF","uris":["http://zotero.org/users/1981608/items/ZZCUVEKW"],"uri":["http://zotero.org/users/1981608/items/ZZCUVEKW"],"itemData":{"id":5573,"type":"article-journal","title":"Primary forest cover loss in Indonesia over 2000-2012","container-title":"Nature Climate Change","page":"730-735","volume":"4","issue":"8","source":"www.nature.com","abstract":"Extensive clearing of Indonesian primary forests results in increased greenhouse gas emissions and biodiversity loss. However, there is no consensus on the areal extent and temporal trends of primary forest clearing in Indonesia. Here we report a spatially and temporally explicit quantification of Indonesian primary forest loss, which totalled over 6.02 Mha from 2000 to 2012 and increased on average by 47,600 ha per year. By 2012, annual primary forest loss in Indonesia was estimated to be higher than in Brazil (0.84 Mha and 0.46 Mha, respectively). Proportional loss of primary forests in wetland landforms increased and almost all clearing of primary forests occurred within degraded types, meaning logging preceded conversion processes. Loss within official forest land uses that restrict or prohibit clearing totalled 40% of all loss within national forest land. The increasing loss of Indonesian primary forests has significant implications for climate change mitigation and biodiversity conservation efforts.","DOI":"10.1038/nclimate2277","ISSN":"1758-678X","journalAbbreviation":"Nature Clim. Change","language":"en","author":[{"family":"Margono","given":"Belinda Arunarwati"},{"family":"Potapov","given":"Peter V."},{"family":"Turubanova","given":"Svetlana"},{"family":"Stolle","given":"Fred"},{"family":"Hansen","given":"Matthew C."}],"issued":{"date-parts":[["2014",8]]}}}],"schema":"https://github.com/citation-style-language/schema/raw/master/csl-citation.json"} </w:instrText>
      </w:r>
      <w:r w:rsidRPr="00F53D05">
        <w:rPr>
          <w:rFonts w:ascii="Times New Roman" w:hAnsi="Times New Roman" w:cs="Times New Roman"/>
          <w:color w:val="000000" w:themeColor="text1"/>
          <w:sz w:val="24"/>
          <w:szCs w:val="24"/>
        </w:rPr>
        <w:fldChar w:fldCharType="separate"/>
      </w:r>
      <w:r w:rsidRPr="00F53D05">
        <w:rPr>
          <w:rFonts w:ascii="Times New Roman" w:hAnsi="Times New Roman" w:cs="Times New Roman"/>
          <w:color w:val="000000" w:themeColor="text1"/>
          <w:sz w:val="24"/>
          <w:szCs w:val="24"/>
        </w:rPr>
        <w:t xml:space="preserve">(Margono </w:t>
      </w:r>
      <w:r w:rsidRPr="00F53D05">
        <w:rPr>
          <w:rFonts w:ascii="Times New Roman" w:hAnsi="Times New Roman" w:cs="Times New Roman"/>
          <w:i/>
          <w:iCs/>
          <w:color w:val="000000" w:themeColor="text1"/>
          <w:sz w:val="24"/>
          <w:szCs w:val="24"/>
        </w:rPr>
        <w:t>et al</w:t>
      </w:r>
      <w:r w:rsidRPr="00F53D05">
        <w:rPr>
          <w:rFonts w:ascii="Times New Roman" w:hAnsi="Times New Roman" w:cs="Times New Roman"/>
          <w:color w:val="000000" w:themeColor="text1"/>
          <w:sz w:val="24"/>
          <w:szCs w:val="24"/>
        </w:rPr>
        <w:t xml:space="preserve"> 2014)</w:t>
      </w:r>
      <w:r w:rsidRPr="00F53D05">
        <w:rPr>
          <w:rFonts w:ascii="Times New Roman" w:hAnsi="Times New Roman" w:cs="Times New Roman"/>
          <w:color w:val="000000" w:themeColor="text1"/>
          <w:sz w:val="24"/>
          <w:szCs w:val="24"/>
        </w:rPr>
        <w:fldChar w:fldCharType="end"/>
      </w:r>
      <w:r w:rsidRPr="00F53D05">
        <w:rPr>
          <w:rFonts w:ascii="Times New Roman" w:hAnsi="Times New Roman" w:cs="Times New Roman"/>
          <w:color w:val="000000" w:themeColor="text1"/>
          <w:sz w:val="24"/>
          <w:szCs w:val="24"/>
        </w:rPr>
        <w:t xml:space="preserve">. The forest definition includes mainly tall evergreen dipterocarps growing on drylands or swamps, including peat-swamps, with closed canopies (&gt;90% cover) and high carbon stock (above-ground carbon: 150 - 310 Mg C/Ha). Young forest regrowth, agro-forests, mixed gardens, scrublands, tree plantations, agricultural land and non-vegetated areas were excluded </w:t>
      </w:r>
      <w:r w:rsidRPr="00F53D05">
        <w:rPr>
          <w:rFonts w:ascii="Times New Roman" w:hAnsi="Times New Roman" w:cs="Times New Roman"/>
          <w:color w:val="000000" w:themeColor="text1"/>
          <w:sz w:val="24"/>
          <w:szCs w:val="24"/>
        </w:rPr>
        <w:fldChar w:fldCharType="begin"/>
      </w:r>
      <w:r w:rsidRPr="00F53D05">
        <w:rPr>
          <w:rFonts w:ascii="Times New Roman" w:hAnsi="Times New Roman" w:cs="Times New Roman"/>
          <w:color w:val="000000" w:themeColor="text1"/>
          <w:sz w:val="24"/>
          <w:szCs w:val="24"/>
        </w:rPr>
        <w:instrText xml:space="preserve"> ADDIN ZOTERO_ITEM CSL_CITATION {"citationID":"M01mZOd9","properties":{"formattedCitation":"(Margono {\\i{}et al} 2014)","plainCitation":"(Margono et al 2014)","noteIndex":0},"citationItems":[{"id":"ZcccPaRO/l3mkjivF","uris":["http://zotero.org/users/1981608/items/ZZCUVEKW"],"uri":["http://zotero.org/users/1981608/items/ZZCUVEKW"],"itemData":{"id":5573,"type":"article-journal","title":"Primary forest cover loss in Indonesia over 2000-2012","container-title":"Nature Climate Change","page":"730-735","volume":"4","issue":"8","source":"www.nature.com","abstract":"Extensive clearing of Indonesian primary forests results in increased greenhouse gas emissions and biodiversity loss. However, there is no consensus on the areal extent and temporal trends of primary forest clearing in Indonesia. Here we report a spatially and temporally explicit quantification of Indonesian primary forest loss, which totalled over 6.02 Mha from 2000 to 2012 and increased on average by 47,600 ha per year. By 2012, annual primary forest loss in Indonesia was estimated to be higher than in Brazil (0.84 Mha and 0.46 Mha, respectively). Proportional loss of primary forests in wetland landforms increased and almost all clearing of primary forests occurred within degraded types, meaning logging preceded conversion processes. Loss within official forest land uses that restrict or prohibit clearing totalled 40% of all loss within national forest land. The increasing loss of Indonesian primary forests has significant implications for climate change mitigation and biodiversity conservation efforts.","DOI":"10.1038/nclimate2277","ISSN":"1758-678X","journalAbbreviation":"Nature Clim. Change","language":"en","author":[{"family":"Margono","given":"Belinda Arunarwati"},{"family":"Potapov","given":"Peter V."},{"family":"Turubanova","given":"Svetlana"},{"family":"Stolle","given":"Fred"},{"family":"Hansen","given":"Matthew C."}],"issued":{"date-parts":[["2014",8]]}}}],"schema":"https://github.com/citation-style-language/schema/raw/master/csl-citation.json"} </w:instrText>
      </w:r>
      <w:r w:rsidRPr="00F53D05">
        <w:rPr>
          <w:rFonts w:ascii="Times New Roman" w:hAnsi="Times New Roman" w:cs="Times New Roman"/>
          <w:color w:val="000000" w:themeColor="text1"/>
          <w:sz w:val="24"/>
          <w:szCs w:val="24"/>
        </w:rPr>
        <w:fldChar w:fldCharType="separate"/>
      </w:r>
      <w:r w:rsidRPr="00F53D05">
        <w:rPr>
          <w:rFonts w:ascii="Times New Roman" w:hAnsi="Times New Roman" w:cs="Times New Roman"/>
          <w:color w:val="000000" w:themeColor="text1"/>
          <w:sz w:val="24"/>
          <w:szCs w:val="24"/>
        </w:rPr>
        <w:t xml:space="preserve">(Margono </w:t>
      </w:r>
      <w:r w:rsidRPr="00F53D05">
        <w:rPr>
          <w:rFonts w:ascii="Times New Roman" w:hAnsi="Times New Roman" w:cs="Times New Roman"/>
          <w:i/>
          <w:iCs/>
          <w:color w:val="000000" w:themeColor="text1"/>
          <w:sz w:val="24"/>
          <w:szCs w:val="24"/>
        </w:rPr>
        <w:t>et al</w:t>
      </w:r>
      <w:r w:rsidRPr="00F53D05">
        <w:rPr>
          <w:rFonts w:ascii="Times New Roman" w:hAnsi="Times New Roman" w:cs="Times New Roman"/>
          <w:color w:val="000000" w:themeColor="text1"/>
          <w:sz w:val="24"/>
          <w:szCs w:val="24"/>
        </w:rPr>
        <w:t xml:space="preserve"> 2014)</w:t>
      </w:r>
      <w:r w:rsidRPr="00F53D05">
        <w:rPr>
          <w:rFonts w:ascii="Times New Roman" w:hAnsi="Times New Roman" w:cs="Times New Roman"/>
          <w:color w:val="000000" w:themeColor="text1"/>
          <w:sz w:val="24"/>
          <w:szCs w:val="24"/>
        </w:rPr>
        <w:fldChar w:fldCharType="end"/>
      </w:r>
      <w:r w:rsidRPr="00F53D05">
        <w:rPr>
          <w:rFonts w:ascii="Times New Roman" w:hAnsi="Times New Roman" w:cs="Times New Roman"/>
          <w:color w:val="000000" w:themeColor="text1"/>
          <w:sz w:val="24"/>
          <w:szCs w:val="24"/>
        </w:rPr>
        <w:t xml:space="preserve">. This definition of forest cover, comprising both intact and degraded types of primary forest in the year 2000, corresponds well (90.2% agreement) to the forest definition used by the Ministry of Forestry in the year 2000 </w:t>
      </w:r>
      <w:r w:rsidRPr="00F53D05">
        <w:rPr>
          <w:rFonts w:ascii="Times New Roman" w:hAnsi="Times New Roman" w:cs="Times New Roman"/>
          <w:color w:val="000000" w:themeColor="text1"/>
          <w:sz w:val="24"/>
          <w:szCs w:val="24"/>
        </w:rPr>
        <w:fldChar w:fldCharType="begin"/>
      </w:r>
      <w:r w:rsidRPr="00F53D05">
        <w:rPr>
          <w:rFonts w:ascii="Times New Roman" w:hAnsi="Times New Roman" w:cs="Times New Roman"/>
          <w:color w:val="000000" w:themeColor="text1"/>
          <w:sz w:val="24"/>
          <w:szCs w:val="24"/>
        </w:rPr>
        <w:instrText xml:space="preserve"> ADDIN ZOTERO_ITEM CSL_CITATION {"citationID":"FMZ8UNlX","properties":{"formattedCitation":"(Margono {\\i{}et al} 2014, Ministry of Environment and Forestry Republic of Indonesia 2018)","plainCitation":"(Margono et al 2014, Ministry of Environment and Forestry Republic of Indonesia 2018)","noteIndex":0},"citationItems":[{"id":"ZcccPaRO/l3mkjivF","uris":["http://zotero.org/users/1981608/items/ZZCUVEKW"],"uri":["http://zotero.org/users/1981608/items/ZZCUVEKW"],"itemData":{"id":5573,"type":"article-journal","title":"Primary forest cover loss in Indonesia over 2000-2012","container-title":"Nature Climate Change","page":"730-735","volume":"4","issue":"8","source":"www.nature.com","abstract":"Extensive clearing of Indonesian primary forests results in increased greenhouse gas emissions and biodiversity loss. However, there is no consensus on the areal extent and temporal trends of primary forest clearing in Indonesia. Here we report a spatially and temporally explicit quantification of Indonesian primary forest loss, which totalled over 6.02 Mha from 2000 to 2012 and increased on average by 47,600 ha per year. By 2012, annual primary forest loss in Indonesia was estimated to be higher than in Brazil (0.84 Mha and 0.46 Mha, respectively). Proportional loss of primary forests in wetland landforms increased and almost all clearing of primary forests occurred within degraded types, meaning logging preceded conversion processes. Loss within official forest land uses that restrict or prohibit clearing totalled 40% of all loss within national forest land. The increasing loss of Indonesian primary forests has significant implications for climate change mitigation and biodiversity conservation efforts.","DOI":"10.1038/nclimate2277","ISSN":"1758-678X","journalAbbreviation":"Nature Clim. Change","language":"en","author":[{"family":"Margono","given":"Belinda Arunarwati"},{"family":"Potapov","given":"Peter V."},{"family":"Turubanova","given":"Svetlana"},{"family":"Stolle","given":"Fred"},{"family":"Hansen","given":"Matthew C."}],"issued":{"date-parts":[["2014",8]]}}},{"id":6631,"uris":["http://zotero.org/users/1981608/items/WBWT573S"],"uri":["http://zotero.org/users/1981608/items/WBWT573S"],"itemData":{"id":6631,"type":"report","title":"The State of Indonesia's Forests 2018","publisher":"Ministry of Environment and Forestry Republic of Indonesia","author":[{"literal":"Ministry of Environment and Forestry Republic of Indonesia"}],"issued":{"date-parts":[["2018"]]}}}],"schema":"https://github.com/citation-style-language/schema/raw/master/csl-citation.json"} </w:instrText>
      </w:r>
      <w:r w:rsidRPr="00F53D05">
        <w:rPr>
          <w:rFonts w:ascii="Times New Roman" w:hAnsi="Times New Roman" w:cs="Times New Roman"/>
          <w:color w:val="000000" w:themeColor="text1"/>
          <w:sz w:val="24"/>
          <w:szCs w:val="24"/>
        </w:rPr>
        <w:fldChar w:fldCharType="separate"/>
      </w:r>
      <w:r w:rsidRPr="00F53D05">
        <w:rPr>
          <w:rFonts w:ascii="Times New Roman" w:hAnsi="Times New Roman" w:cs="Times New Roman"/>
          <w:color w:val="000000" w:themeColor="text1"/>
          <w:sz w:val="24"/>
          <w:szCs w:val="24"/>
        </w:rPr>
        <w:t xml:space="preserve">(Margono </w:t>
      </w:r>
      <w:r w:rsidRPr="00F53D05">
        <w:rPr>
          <w:rFonts w:ascii="Times New Roman" w:hAnsi="Times New Roman" w:cs="Times New Roman"/>
          <w:i/>
          <w:iCs/>
          <w:color w:val="000000" w:themeColor="text1"/>
          <w:sz w:val="24"/>
          <w:szCs w:val="24"/>
        </w:rPr>
        <w:t>et al</w:t>
      </w:r>
      <w:r w:rsidRPr="00F53D05">
        <w:rPr>
          <w:rFonts w:ascii="Times New Roman" w:hAnsi="Times New Roman" w:cs="Times New Roman"/>
          <w:color w:val="000000" w:themeColor="text1"/>
          <w:sz w:val="24"/>
          <w:szCs w:val="24"/>
        </w:rPr>
        <w:t xml:space="preserve"> 2014, Ministry of Environment and Forestry Republic of Indonesia 2018)</w:t>
      </w:r>
      <w:r w:rsidRPr="00F53D05">
        <w:rPr>
          <w:rFonts w:ascii="Times New Roman" w:hAnsi="Times New Roman" w:cs="Times New Roman"/>
          <w:color w:val="000000" w:themeColor="text1"/>
          <w:sz w:val="24"/>
          <w:szCs w:val="24"/>
        </w:rPr>
        <w:fldChar w:fldCharType="end"/>
      </w:r>
      <w:r w:rsidRPr="00F53D05">
        <w:rPr>
          <w:rFonts w:ascii="Times New Roman" w:hAnsi="Times New Roman" w:cs="Times New Roman"/>
          <w:color w:val="000000" w:themeColor="text1"/>
          <w:sz w:val="24"/>
          <w:szCs w:val="24"/>
        </w:rPr>
        <w:t xml:space="preserve">. For the purpose of this study, the forest definition was expanded to include mangrove forests </w:t>
      </w:r>
      <w:r w:rsidRPr="00F53D05">
        <w:rPr>
          <w:rFonts w:ascii="Times New Roman" w:hAnsi="Times New Roman" w:cs="Times New Roman"/>
          <w:color w:val="000000" w:themeColor="text1"/>
          <w:sz w:val="24"/>
          <w:szCs w:val="24"/>
        </w:rPr>
        <w:fldChar w:fldCharType="begin"/>
      </w:r>
      <w:r w:rsidRPr="00F53D05">
        <w:rPr>
          <w:rFonts w:ascii="Times New Roman" w:hAnsi="Times New Roman" w:cs="Times New Roman"/>
          <w:color w:val="000000" w:themeColor="text1"/>
          <w:sz w:val="24"/>
          <w:szCs w:val="24"/>
        </w:rPr>
        <w:instrText xml:space="preserve"> ADDIN ZOTERO_ITEM CSL_CITATION {"citationID":"Nqmj4mpX","properties":{"formattedCitation":"(Giri {\\i{}et al} 2011)","plainCitation":"(Giri et al 2011)","noteIndex":0},"citationItems":[{"id":8054,"uris":["http://zotero.org/users/1981608/items/CJV2ASXN"],"uri":["http://zotero.org/users/1981608/items/CJV2ASXN"],"itemData":{"id":8054,"type":"article-journal","title":"Status and distribution of mangrove forests of the world using earth observation satellite data","container-title":"Global Ecology and Biogeography","page":"154-159","volume":"20","issue":"1","source":"Wiley Online Library","abstract":"Aim Our scientific understanding of the extent and distribution of mangrove forests of the world is inadequate. The available global mangrove databases, compiled using disparate geospatial data sources and national statistics, need to be improved. Here, we mapped the status and distributions of global mangroves using recently available Global Land Survey (GLS) data and the Landsat archive. Methods We interpreted approximately 1000 Landsat scenes using hybrid supervised and unsupervised digital image classification techniques. Each image was normalized for variation in solar angle and earth–sun distance by converting the digital number values to the top-of-the-atmosphere reflectance. Ground truth data and existing maps and databases were used to select training samples and also for iterative labelling. Results were validated using existing GIS data and the published literature to map ‘true mangroves’. Results The total area of mangroves in the year 2000 was 137,760 km2 in 118 countries and territories in the tropical and subtropical regions of the world. Approximately 75% of world's mangroves are found in just 15 countries, and only 6.9% are protected under the existing protected areas network (IUCN I-IV). Our study confirms earlier findings that the biogeographic distribution of mangroves is generally confined to the tropical and subtropical regions and the largest percentage of mangroves is found between 5° N and 5° S latitude. Main conclusions We report that the remaining area of mangrove forest in the world is less than previously thought. Our estimate is 12.3% smaller than the most recent estimate by the Food and Agriculture Organization (FAO) of the United Nations. We present the most comprehensive, globally consistent and highest resolution (30 m) global mangrove database ever created. We developed and used better mapping techniques and data sources and mapped mangroves with better spatial and thematic details than previous studies.","DOI":"10.1111/j.1466-8238.2010.00584.x","ISSN":"1466-8238","language":"en","author":[{"family":"Giri","given":"C."},{"family":"Ochieng","given":"E."},{"family":"Tieszen","given":"L. L."},{"family":"Zhu","given":"Z."},{"family":"Singh","given":"A."},{"family":"Loveland","given":"T."},{"family":"Masek","given":"J."},{"family":"Duke","given":"N."}],"issued":{"date-parts":[["2011"]]}}}],"schema":"https://github.com/citation-style-language/schema/raw/master/csl-citation.json"} </w:instrText>
      </w:r>
      <w:r w:rsidRPr="00F53D05">
        <w:rPr>
          <w:rFonts w:ascii="Times New Roman" w:hAnsi="Times New Roman" w:cs="Times New Roman"/>
          <w:color w:val="000000" w:themeColor="text1"/>
          <w:sz w:val="24"/>
          <w:szCs w:val="24"/>
        </w:rPr>
        <w:fldChar w:fldCharType="separate"/>
      </w:r>
      <w:r w:rsidRPr="00F53D05">
        <w:rPr>
          <w:rFonts w:ascii="Times New Roman" w:hAnsi="Times New Roman" w:cs="Times New Roman"/>
          <w:color w:val="000000" w:themeColor="text1"/>
          <w:sz w:val="24"/>
          <w:szCs w:val="24"/>
        </w:rPr>
        <w:t xml:space="preserve">(Giri </w:t>
      </w:r>
      <w:r w:rsidRPr="00F53D05">
        <w:rPr>
          <w:rFonts w:ascii="Times New Roman" w:hAnsi="Times New Roman" w:cs="Times New Roman"/>
          <w:i/>
          <w:iCs/>
          <w:color w:val="000000" w:themeColor="text1"/>
          <w:sz w:val="24"/>
          <w:szCs w:val="24"/>
        </w:rPr>
        <w:t>et al</w:t>
      </w:r>
      <w:r w:rsidRPr="00F53D05">
        <w:rPr>
          <w:rFonts w:ascii="Times New Roman" w:hAnsi="Times New Roman" w:cs="Times New Roman"/>
          <w:color w:val="000000" w:themeColor="text1"/>
          <w:sz w:val="24"/>
          <w:szCs w:val="24"/>
        </w:rPr>
        <w:t xml:space="preserve"> 2011)</w:t>
      </w:r>
      <w:r w:rsidRPr="00F53D05">
        <w:rPr>
          <w:rFonts w:ascii="Times New Roman" w:hAnsi="Times New Roman" w:cs="Times New Roman"/>
          <w:color w:val="000000" w:themeColor="text1"/>
          <w:sz w:val="24"/>
          <w:szCs w:val="24"/>
        </w:rPr>
        <w:fldChar w:fldCharType="end"/>
      </w:r>
      <w:r w:rsidRPr="00F53D05">
        <w:rPr>
          <w:rFonts w:ascii="Times New Roman" w:hAnsi="Times New Roman" w:cs="Times New Roman"/>
          <w:color w:val="000000" w:themeColor="text1"/>
          <w:sz w:val="24"/>
          <w:szCs w:val="24"/>
        </w:rPr>
        <w:t>, amounting to an additional 880 km</w:t>
      </w:r>
      <w:r w:rsidRPr="00F53D05">
        <w:rPr>
          <w:rFonts w:ascii="Times New Roman" w:hAnsi="Times New Roman" w:cs="Times New Roman"/>
          <w:color w:val="000000" w:themeColor="text1"/>
          <w:sz w:val="24"/>
          <w:szCs w:val="24"/>
          <w:vertAlign w:val="superscript"/>
        </w:rPr>
        <w:t xml:space="preserve">2 </w:t>
      </w:r>
      <w:r w:rsidRPr="00F53D05">
        <w:rPr>
          <w:rFonts w:ascii="Times New Roman" w:hAnsi="Times New Roman" w:cs="Times New Roman"/>
          <w:color w:val="000000" w:themeColor="text1"/>
          <w:sz w:val="24"/>
          <w:szCs w:val="24"/>
        </w:rPr>
        <w:t>of coastal forest.</w:t>
      </w:r>
    </w:p>
    <w:p w14:paraId="653A6D35" w14:textId="77777777" w:rsidR="00384FD3" w:rsidRPr="00F53D05" w:rsidRDefault="00384FD3" w:rsidP="00384FD3">
      <w:pPr>
        <w:spacing w:line="480" w:lineRule="auto"/>
        <w:rPr>
          <w:rFonts w:ascii="Times New Roman" w:hAnsi="Times New Roman" w:cs="Times New Roman"/>
          <w:color w:val="000000" w:themeColor="text1"/>
          <w:sz w:val="24"/>
          <w:szCs w:val="24"/>
        </w:rPr>
      </w:pPr>
      <w:r w:rsidRPr="00F53D05">
        <w:rPr>
          <w:rFonts w:ascii="Times New Roman" w:hAnsi="Times New Roman" w:cs="Times New Roman"/>
          <w:color w:val="000000" w:themeColor="text1"/>
          <w:sz w:val="24"/>
          <w:szCs w:val="24"/>
        </w:rPr>
        <w:t xml:space="preserve">Forest loss, defined as the removal or mortality of tree cover, </w:t>
      </w:r>
      <w:r w:rsidRPr="00F53D05">
        <w:rPr>
          <w:rFonts w:ascii="Times New Roman" w:eastAsia="Liberation Serif" w:hAnsi="Times New Roman" w:cs="Times New Roman"/>
          <w:bCs/>
          <w:iCs/>
          <w:color w:val="000000" w:themeColor="text1"/>
          <w:kern w:val="3"/>
          <w:sz w:val="24"/>
          <w:szCs w:val="24"/>
        </w:rPr>
        <w:t>was</w:t>
      </w:r>
      <w:r w:rsidRPr="00F53D05">
        <w:rPr>
          <w:rFonts w:ascii="Times New Roman" w:hAnsi="Times New Roman" w:cs="Times New Roman"/>
          <w:color w:val="000000" w:themeColor="text1"/>
          <w:sz w:val="24"/>
          <w:szCs w:val="24"/>
        </w:rPr>
        <w:t xml:space="preserve"> based on the Tree Loss dataset (v1.6) developed at University of Maryland with Landsat time-series imagery </w:t>
      </w:r>
      <w:r w:rsidRPr="00F53D05">
        <w:rPr>
          <w:rFonts w:ascii="Times New Roman" w:hAnsi="Times New Roman" w:cs="Times New Roman"/>
          <w:color w:val="000000" w:themeColor="text1"/>
          <w:sz w:val="24"/>
          <w:szCs w:val="24"/>
        </w:rPr>
        <w:lastRenderedPageBreak/>
        <w:fldChar w:fldCharType="begin"/>
      </w:r>
      <w:r w:rsidRPr="00F53D05">
        <w:rPr>
          <w:rFonts w:ascii="Times New Roman" w:hAnsi="Times New Roman" w:cs="Times New Roman"/>
          <w:color w:val="000000" w:themeColor="text1"/>
          <w:sz w:val="24"/>
          <w:szCs w:val="24"/>
        </w:rPr>
        <w:instrText xml:space="preserve"> ADDIN ZOTERO_ITEM CSL_CITATION {"citationID":"vKi8vLXn","properties":{"formattedCitation":"(Hansen {\\i{}et al} 2013)","plainCitation":"(Hansen et al 2013)","noteIndex":0},"citationItems":[{"id":1125,"uris":["http://zotero.org/users/1981608/items/UPG89FK2"],"uri":["http://zotero.org/users/1981608/items/UPG89FK2"],"itemData":{"id":1125,"type":"article-journal","title":"High-Resolution Global Maps of 21st-Century Forest Cover Change","container-title":"Science","page":"850-853","volume":"342","issue":"6160","source":"www.sciencemag.org","abstract":"Quantification of global forest change has been lacking despite the recognized importance of forest ecosystem services. In this study, Earth observation satellite data were used to map global forest loss (2.3 million square kilometers) and gain (0.8 million square kilometers) from 2000 to 2012 at a spatial resolution of 30 meters. The tropics were the only climate domain to exhibit a trend, with forest loss increasing by 2101 square kilometers per year. Brazil’s well-documented reduction in deforestation was offset by increasing forest loss in Indonesia, Malaysia, Paraguay, Bolivia, Zambia, Angola, and elsewhere. Intensive forestry practiced within subtropical forests resulted in the highest rates of forest change globally. Boreal forest loss due largely to fire and forestry was second to that in the tropics in absolute and proportional terms. These results depict a globally consistent and locally relevant record of forest change.\nForests in Flux\nForests worldwide are in a state of flux, with accelerating losses in some regions and gains in others. Hansen et al. (p. 850) examined global Landsat data at a 30-meter spatial resolution to characterize forest extent, loss, and gain from 2000 to 2012. Globally, 2.3 million square kilometers of forest were lost during the 12-year study period and 0.8 million square kilometers of new forest were gained. The tropics exhibited both the greatest losses and the greatest gains (through regrowth and plantation), with losses outstripping gains.","DOI":"10.1126/science.1244693","ISSN":"0036-8075, 1095-9203","note":"PMID: 24233722","journalAbbreviation":"Science","language":"en","author":[{"family":"Hansen","given":"Matthew C."},{"family":"Potapov","given":"Peter V."},{"family":"Moore","given":"R."},{"family":"Hancher","given":"M."},{"family":"Turubanova","given":"Svetlana"},{"family":"Tyukavina","given":"Alexandra"},{"family":"Thau","given":"D."},{"family":"Stehman","given":"S. V."},{"family":"Goetz","given":"S. J."},{"family":"Loveland","given":"T. R."},{"family":"Kommareddy","given":"A."},{"family":"Egorov","given":"A."},{"family":"Chini","given":"L."},{"family":"Justice","given":"C. O."},{"family":"Townshend","given":"J. R. G."}],"issued":{"date-parts":[["2013",11,15]]}}}],"schema":"https://github.com/citation-style-language/schema/raw/master/csl-citation.json"} </w:instrText>
      </w:r>
      <w:r w:rsidRPr="00F53D05">
        <w:rPr>
          <w:rFonts w:ascii="Times New Roman" w:hAnsi="Times New Roman" w:cs="Times New Roman"/>
          <w:color w:val="000000" w:themeColor="text1"/>
          <w:sz w:val="24"/>
          <w:szCs w:val="24"/>
        </w:rPr>
        <w:fldChar w:fldCharType="separate"/>
      </w:r>
      <w:r w:rsidRPr="00F53D05">
        <w:rPr>
          <w:rFonts w:ascii="Times New Roman" w:hAnsi="Times New Roman" w:cs="Times New Roman"/>
          <w:color w:val="000000" w:themeColor="text1"/>
          <w:sz w:val="24"/>
          <w:szCs w:val="24"/>
        </w:rPr>
        <w:t xml:space="preserve">(Hansen </w:t>
      </w:r>
      <w:r w:rsidRPr="00F53D05">
        <w:rPr>
          <w:rFonts w:ascii="Times New Roman" w:hAnsi="Times New Roman" w:cs="Times New Roman"/>
          <w:i/>
          <w:iCs/>
          <w:color w:val="000000" w:themeColor="text1"/>
          <w:sz w:val="24"/>
          <w:szCs w:val="24"/>
        </w:rPr>
        <w:t>et al</w:t>
      </w:r>
      <w:r w:rsidRPr="00F53D05">
        <w:rPr>
          <w:rFonts w:ascii="Times New Roman" w:hAnsi="Times New Roman" w:cs="Times New Roman"/>
          <w:color w:val="000000" w:themeColor="text1"/>
          <w:sz w:val="24"/>
          <w:szCs w:val="24"/>
        </w:rPr>
        <w:t xml:space="preserve"> 2013)</w:t>
      </w:r>
      <w:r w:rsidRPr="00F53D05">
        <w:rPr>
          <w:rFonts w:ascii="Times New Roman" w:hAnsi="Times New Roman" w:cs="Times New Roman"/>
          <w:color w:val="000000" w:themeColor="text1"/>
          <w:sz w:val="24"/>
          <w:szCs w:val="24"/>
        </w:rPr>
        <w:fldChar w:fldCharType="end"/>
      </w:r>
      <w:r w:rsidRPr="00F53D05">
        <w:rPr>
          <w:rFonts w:ascii="Times New Roman" w:hAnsi="Times New Roman" w:cs="Times New Roman"/>
          <w:color w:val="000000" w:themeColor="text1"/>
          <w:sz w:val="24"/>
          <w:szCs w:val="24"/>
        </w:rPr>
        <w:t xml:space="preserve">. We have sought to minimized the inclusion of permanent or temporary forest loss within industrial plantations and small-holder agriculture by </w:t>
      </w:r>
      <w:r w:rsidRPr="00F53D05">
        <w:rPr>
          <w:rFonts w:ascii="Times New Roman" w:eastAsia="Liberation Serif" w:hAnsi="Times New Roman" w:cs="Times New Roman"/>
          <w:bCs/>
          <w:iCs/>
          <w:color w:val="000000" w:themeColor="text1"/>
          <w:kern w:val="3"/>
          <w:sz w:val="24"/>
          <w:szCs w:val="24"/>
        </w:rPr>
        <w:t>excluding the loss of tree cover within plantations, agro-forests, mixed gardens, regrowth or scrubland. Forested pixels were defined as having</w:t>
      </w:r>
      <w:r w:rsidRPr="00F53D05">
        <w:rPr>
          <w:rFonts w:ascii="Times New Roman" w:hAnsi="Times New Roman" w:cs="Times New Roman"/>
          <w:color w:val="000000" w:themeColor="text1"/>
          <w:sz w:val="24"/>
          <w:szCs w:val="24"/>
        </w:rPr>
        <w:t xml:space="preserve"> &gt;70% tree canopy cover at the Landsat pixel (30 m resolution) scale. We used yearly measures of forest loss and aggregated forest cover and loss at a 180 m resolution using nearest-neighbour resampling, to minimize inclusion of short-term and small scale degradation and to facilitate data processing and modelling</w:t>
      </w:r>
      <w:r w:rsidR="00FE5CFD" w:rsidRPr="00F53D05">
        <w:rPr>
          <w:rFonts w:ascii="Times New Roman" w:hAnsi="Times New Roman" w:cs="Times New Roman"/>
          <w:color w:val="000000" w:themeColor="text1"/>
          <w:sz w:val="24"/>
          <w:szCs w:val="24"/>
        </w:rPr>
        <w:t xml:space="preserve"> (forest_2014_18_180m.tif and</w:t>
      </w:r>
      <w:r w:rsidR="00FE5CFD" w:rsidRPr="00F53D05">
        <w:rPr>
          <w:rFonts w:ascii="Times New Roman" w:hAnsi="Times New Roman" w:cs="Times New Roman"/>
          <w:sz w:val="24"/>
          <w:szCs w:val="24"/>
        </w:rPr>
        <w:t xml:space="preserve"> </w:t>
      </w:r>
      <w:r w:rsidR="00FE5CFD" w:rsidRPr="00F53D05">
        <w:rPr>
          <w:rFonts w:ascii="Times New Roman" w:hAnsi="Times New Roman" w:cs="Times New Roman"/>
          <w:color w:val="000000" w:themeColor="text1"/>
          <w:sz w:val="24"/>
          <w:szCs w:val="24"/>
        </w:rPr>
        <w:t>deforestation_2014_18_180m.tif)</w:t>
      </w:r>
      <w:r w:rsidRPr="00F53D05">
        <w:rPr>
          <w:rFonts w:ascii="Times New Roman" w:hAnsi="Times New Roman" w:cs="Times New Roman"/>
          <w:color w:val="000000" w:themeColor="text1"/>
          <w:sz w:val="24"/>
          <w:szCs w:val="24"/>
        </w:rPr>
        <w:t xml:space="preserve">. </w:t>
      </w:r>
    </w:p>
    <w:p w14:paraId="0D7C87B0" w14:textId="77777777" w:rsidR="00384FD3" w:rsidRPr="00F53D05" w:rsidRDefault="00384FD3" w:rsidP="00384FD3">
      <w:pPr>
        <w:pStyle w:val="Heading2"/>
        <w:rPr>
          <w:rFonts w:cs="Times New Roman"/>
          <w:szCs w:val="24"/>
        </w:rPr>
      </w:pPr>
      <w:r w:rsidRPr="00F53D05">
        <w:rPr>
          <w:rFonts w:cs="Times New Roman"/>
          <w:szCs w:val="24"/>
        </w:rPr>
        <w:t>Modelling framework</w:t>
      </w:r>
    </w:p>
    <w:p w14:paraId="7D6E20F5" w14:textId="77777777" w:rsidR="00384FD3" w:rsidRPr="00F53D05" w:rsidRDefault="00384FD3" w:rsidP="00384FD3">
      <w:pPr>
        <w:spacing w:line="480" w:lineRule="auto"/>
        <w:rPr>
          <w:rFonts w:ascii="Times New Roman" w:hAnsi="Times New Roman" w:cs="Times New Roman"/>
          <w:color w:val="000000" w:themeColor="text1"/>
          <w:sz w:val="24"/>
          <w:szCs w:val="24"/>
        </w:rPr>
      </w:pPr>
      <w:r w:rsidRPr="00F53D05">
        <w:rPr>
          <w:rFonts w:ascii="Times New Roman" w:hAnsi="Times New Roman" w:cs="Times New Roman"/>
          <w:color w:val="000000" w:themeColor="text1"/>
          <w:sz w:val="24"/>
          <w:szCs w:val="24"/>
        </w:rPr>
        <w:t xml:space="preserve">The model of forest loss for each province and state was adapted from Rosa </w:t>
      </w:r>
      <w:r w:rsidRPr="00F53D05">
        <w:rPr>
          <w:rFonts w:ascii="Times New Roman" w:hAnsi="Times New Roman" w:cs="Times New Roman"/>
          <w:i/>
          <w:color w:val="000000" w:themeColor="text1"/>
          <w:sz w:val="24"/>
          <w:szCs w:val="24"/>
        </w:rPr>
        <w:t>et al</w:t>
      </w:r>
      <w:r w:rsidRPr="00F53D05">
        <w:rPr>
          <w:rFonts w:ascii="Times New Roman" w:hAnsi="Times New Roman" w:cs="Times New Roman"/>
          <w:color w:val="000000" w:themeColor="text1"/>
          <w:sz w:val="24"/>
          <w:szCs w:val="24"/>
        </w:rPr>
        <w:t xml:space="preserve"> (2013) and is based on </w:t>
      </w:r>
      <w:r w:rsidRPr="00F53D05">
        <w:rPr>
          <w:rFonts w:ascii="Times New Roman" w:hAnsi="Times New Roman" w:cs="Times New Roman"/>
          <w:i/>
          <w:iCs/>
          <w:color w:val="000000" w:themeColor="text1"/>
          <w:sz w:val="24"/>
          <w:szCs w:val="24"/>
        </w:rPr>
        <w:t>P</w:t>
      </w:r>
      <w:r w:rsidRPr="00F53D05">
        <w:rPr>
          <w:rFonts w:ascii="Times New Roman" w:hAnsi="Times New Roman" w:cs="Times New Roman"/>
          <w:i/>
          <w:iCs/>
          <w:color w:val="000000" w:themeColor="text1"/>
          <w:sz w:val="24"/>
          <w:szCs w:val="24"/>
          <w:vertAlign w:val="subscript"/>
        </w:rPr>
        <w:t>trloss,x,t</w:t>
      </w:r>
      <w:r w:rsidRPr="00F53D05">
        <w:rPr>
          <w:rFonts w:ascii="Times New Roman" w:hAnsi="Times New Roman" w:cs="Times New Roman"/>
          <w:color w:val="000000" w:themeColor="text1"/>
          <w:sz w:val="24"/>
          <w:szCs w:val="24"/>
        </w:rPr>
        <w:t xml:space="preserve">, the probability that trees in a pixel </w:t>
      </w:r>
      <w:r w:rsidRPr="00F53D05">
        <w:rPr>
          <w:rFonts w:ascii="Times New Roman" w:hAnsi="Times New Roman" w:cs="Times New Roman"/>
          <w:i/>
          <w:iCs/>
          <w:color w:val="000000" w:themeColor="text1"/>
          <w:sz w:val="24"/>
          <w:szCs w:val="24"/>
        </w:rPr>
        <w:t xml:space="preserve">x </w:t>
      </w:r>
      <w:r w:rsidRPr="00F53D05">
        <w:rPr>
          <w:rFonts w:ascii="Times New Roman" w:hAnsi="Times New Roman" w:cs="Times New Roman"/>
          <w:color w:val="000000" w:themeColor="text1"/>
          <w:sz w:val="24"/>
          <w:szCs w:val="24"/>
        </w:rPr>
        <w:t xml:space="preserve">are lost in a time interval </w:t>
      </w:r>
      <w:r w:rsidRPr="00F53D05">
        <w:rPr>
          <w:rFonts w:ascii="Times New Roman" w:hAnsi="Times New Roman" w:cs="Times New Roman"/>
          <w:i/>
          <w:iCs/>
          <w:color w:val="000000" w:themeColor="text1"/>
          <w:sz w:val="24"/>
          <w:szCs w:val="24"/>
        </w:rPr>
        <w:t>t</w:t>
      </w:r>
      <w:r w:rsidRPr="00F53D05">
        <w:rPr>
          <w:rFonts w:ascii="Times New Roman" w:hAnsi="Times New Roman" w:cs="Times New Roman"/>
          <w:color w:val="000000" w:themeColor="text1"/>
          <w:sz w:val="24"/>
          <w:szCs w:val="24"/>
        </w:rPr>
        <w:t>. The probability of loss is defined as a logistic function:</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8566"/>
        <w:gridCol w:w="1072"/>
      </w:tblGrid>
      <w:tr w:rsidR="00384FD3" w:rsidRPr="00F53D05" w14:paraId="4A974A90" w14:textId="77777777" w:rsidTr="000A5ECA">
        <w:trPr>
          <w:tblHeader/>
        </w:trPr>
        <w:tc>
          <w:tcPr>
            <w:tcW w:w="8566" w:type="dxa"/>
            <w:vAlign w:val="center"/>
          </w:tcPr>
          <w:p w14:paraId="04F355C9" w14:textId="77777777" w:rsidR="00384FD3" w:rsidRPr="00F53D05" w:rsidRDefault="001A1C69" w:rsidP="000A5ECA">
            <w:pPr>
              <w:pStyle w:val="TableContents"/>
              <w:spacing w:line="480" w:lineRule="auto"/>
              <w:rPr>
                <w:rFonts w:cs="Times New Roman"/>
                <w:color w:val="000000" w:themeColor="text1"/>
                <w:sz w:val="24"/>
                <w:szCs w:val="24"/>
              </w:rPr>
            </w:pPr>
            <m:oMathPara>
              <m:oMathParaPr>
                <m:jc m:val="center"/>
              </m:oMathParaPr>
              <m:oMath>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Ptrloss</m:t>
                    </m:r>
                  </m:e>
                  <m:sub>
                    <m:r>
                      <w:rPr>
                        <w:rFonts w:ascii="Cambria Math" w:hAnsi="Cambria Math" w:cs="Times New Roman"/>
                        <w:color w:val="000000" w:themeColor="text1"/>
                        <w:sz w:val="24"/>
                        <w:szCs w:val="24"/>
                      </w:rPr>
                      <m:t>x,t</m:t>
                    </m:r>
                  </m:sub>
                </m:sSub>
                <m: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1+</m:t>
                    </m:r>
                    <m:sSup>
                      <m:sSupPr>
                        <m:ctrlPr>
                          <w:rPr>
                            <w:rFonts w:ascii="Cambria Math" w:hAnsi="Cambria Math" w:cs="Times New Roman"/>
                            <w:color w:val="000000" w:themeColor="text1"/>
                            <w:sz w:val="24"/>
                            <w:szCs w:val="24"/>
                          </w:rPr>
                        </m:ctrlPr>
                      </m:sSupPr>
                      <m:e>
                        <m:r>
                          <w:rPr>
                            <w:rFonts w:ascii="Cambria Math" w:hAnsi="Cambria Math" w:cs="Times New Roman"/>
                            <w:color w:val="000000" w:themeColor="text1"/>
                            <w:sz w:val="24"/>
                            <w:szCs w:val="24"/>
                          </w:rPr>
                          <m:t>exp</m:t>
                        </m:r>
                      </m:e>
                      <m:sup>
                        <m: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x,t</m:t>
                            </m:r>
                          </m:sub>
                        </m:sSub>
                      </m:sup>
                    </m:sSup>
                  </m:den>
                </m:f>
              </m:oMath>
            </m:oMathPara>
          </w:p>
        </w:tc>
        <w:tc>
          <w:tcPr>
            <w:tcW w:w="1072" w:type="dxa"/>
            <w:vAlign w:val="center"/>
          </w:tcPr>
          <w:p w14:paraId="062EC063" w14:textId="77777777" w:rsidR="00384FD3" w:rsidRPr="00F53D05" w:rsidRDefault="00384FD3" w:rsidP="000A5ECA">
            <w:pPr>
              <w:pStyle w:val="TableContents"/>
              <w:spacing w:line="480" w:lineRule="auto"/>
              <w:jc w:val="right"/>
              <w:rPr>
                <w:rFonts w:cs="Times New Roman"/>
                <w:color w:val="000000" w:themeColor="text1"/>
                <w:sz w:val="24"/>
                <w:szCs w:val="24"/>
              </w:rPr>
            </w:pPr>
            <w:r w:rsidRPr="00F53D05">
              <w:rPr>
                <w:rFonts w:cs="Times New Roman"/>
                <w:color w:val="000000" w:themeColor="text1"/>
                <w:sz w:val="24"/>
                <w:szCs w:val="24"/>
              </w:rPr>
              <w:t>(</w:t>
            </w:r>
            <w:r w:rsidRPr="00F53D05">
              <w:rPr>
                <w:rFonts w:cs="Times New Roman"/>
                <w:color w:val="000000" w:themeColor="text1"/>
                <w:sz w:val="24"/>
                <w:szCs w:val="24"/>
              </w:rPr>
              <w:fldChar w:fldCharType="begin"/>
            </w:r>
            <w:r w:rsidRPr="00F53D05">
              <w:rPr>
                <w:rFonts w:cs="Times New Roman"/>
                <w:color w:val="000000" w:themeColor="text1"/>
                <w:sz w:val="24"/>
                <w:szCs w:val="24"/>
              </w:rPr>
              <w:instrText>SEQ Text \* ARABIC</w:instrText>
            </w:r>
            <w:r w:rsidRPr="00F53D05">
              <w:rPr>
                <w:rFonts w:cs="Times New Roman"/>
                <w:color w:val="000000" w:themeColor="text1"/>
                <w:sz w:val="24"/>
                <w:szCs w:val="24"/>
              </w:rPr>
              <w:fldChar w:fldCharType="separate"/>
            </w:r>
            <w:r w:rsidRPr="00F53D05">
              <w:rPr>
                <w:rFonts w:cs="Times New Roman"/>
                <w:noProof/>
                <w:color w:val="000000" w:themeColor="text1"/>
                <w:sz w:val="24"/>
                <w:szCs w:val="24"/>
              </w:rPr>
              <w:t>1</w:t>
            </w:r>
            <w:r w:rsidRPr="00F53D05">
              <w:rPr>
                <w:rFonts w:cs="Times New Roman"/>
                <w:color w:val="000000" w:themeColor="text1"/>
                <w:sz w:val="24"/>
                <w:szCs w:val="24"/>
              </w:rPr>
              <w:fldChar w:fldCharType="end"/>
            </w:r>
            <w:r w:rsidRPr="00F53D05">
              <w:rPr>
                <w:rFonts w:cs="Times New Roman"/>
                <w:color w:val="000000" w:themeColor="text1"/>
                <w:sz w:val="24"/>
                <w:szCs w:val="24"/>
              </w:rPr>
              <w:t>)</w:t>
            </w:r>
          </w:p>
        </w:tc>
      </w:tr>
    </w:tbl>
    <w:p w14:paraId="291463C9" w14:textId="77777777" w:rsidR="00384FD3" w:rsidRPr="00F53D05" w:rsidRDefault="00384FD3" w:rsidP="00384FD3">
      <w:pPr>
        <w:spacing w:before="173" w:line="480" w:lineRule="auto"/>
        <w:rPr>
          <w:rFonts w:ascii="Times New Roman" w:hAnsi="Times New Roman" w:cs="Times New Roman"/>
          <w:color w:val="000000" w:themeColor="text1"/>
          <w:sz w:val="24"/>
          <w:szCs w:val="24"/>
        </w:rPr>
      </w:pPr>
      <w:r w:rsidRPr="00F53D05">
        <w:rPr>
          <w:rFonts w:ascii="Times New Roman" w:hAnsi="Times New Roman" w:cs="Times New Roman"/>
          <w:color w:val="000000" w:themeColor="text1"/>
          <w:sz w:val="24"/>
          <w:szCs w:val="24"/>
        </w:rPr>
        <w:t xml:space="preserve">in which </w:t>
      </w:r>
      <w:r w:rsidRPr="00F53D05">
        <w:rPr>
          <w:rFonts w:ascii="Times New Roman" w:hAnsi="Times New Roman" w:cs="Times New Roman"/>
          <w:i/>
          <w:iCs/>
          <w:color w:val="000000" w:themeColor="text1"/>
          <w:sz w:val="24"/>
          <w:szCs w:val="24"/>
        </w:rPr>
        <w:t>k</w:t>
      </w:r>
      <w:r w:rsidRPr="00F53D05">
        <w:rPr>
          <w:rFonts w:ascii="Times New Roman" w:hAnsi="Times New Roman" w:cs="Times New Roman"/>
          <w:i/>
          <w:iCs/>
          <w:color w:val="000000" w:themeColor="text1"/>
          <w:sz w:val="24"/>
          <w:szCs w:val="24"/>
          <w:vertAlign w:val="subscript"/>
        </w:rPr>
        <w:t>x,t</w:t>
      </w:r>
      <w:r w:rsidRPr="00F53D05">
        <w:rPr>
          <w:rFonts w:ascii="Times New Roman" w:hAnsi="Times New Roman" w:cs="Times New Roman"/>
          <w:color w:val="000000" w:themeColor="text1"/>
          <w:sz w:val="24"/>
          <w:szCs w:val="24"/>
        </w:rPr>
        <w:t xml:space="preserve"> can range from minus to plus infinity and </w:t>
      </w:r>
      <w:r w:rsidRPr="00F53D05">
        <w:rPr>
          <w:rFonts w:ascii="Times New Roman" w:hAnsi="Times New Roman" w:cs="Times New Roman"/>
          <w:i/>
          <w:iCs/>
          <w:color w:val="000000" w:themeColor="text1"/>
          <w:sz w:val="24"/>
          <w:szCs w:val="24"/>
        </w:rPr>
        <w:t>P</w:t>
      </w:r>
      <w:r w:rsidRPr="00F53D05">
        <w:rPr>
          <w:rFonts w:ascii="Times New Roman" w:hAnsi="Times New Roman" w:cs="Times New Roman"/>
          <w:i/>
          <w:iCs/>
          <w:color w:val="000000" w:themeColor="text1"/>
          <w:sz w:val="24"/>
          <w:szCs w:val="24"/>
          <w:vertAlign w:val="subscript"/>
        </w:rPr>
        <w:t>trloss,x,t</w:t>
      </w:r>
      <w:r w:rsidRPr="00F53D05">
        <w:rPr>
          <w:rFonts w:ascii="Times New Roman" w:hAnsi="Times New Roman" w:cs="Times New Roman"/>
          <w:color w:val="000000" w:themeColor="text1"/>
          <w:sz w:val="24"/>
          <w:szCs w:val="24"/>
        </w:rPr>
        <w:t xml:space="preserve"> from 0 to 1. We then used linear models to describe </w:t>
      </w:r>
      <w:r w:rsidRPr="00F53D05">
        <w:rPr>
          <w:rFonts w:ascii="Times New Roman" w:hAnsi="Times New Roman" w:cs="Times New Roman"/>
          <w:i/>
          <w:iCs/>
          <w:color w:val="000000" w:themeColor="text1"/>
          <w:sz w:val="24"/>
          <w:szCs w:val="24"/>
        </w:rPr>
        <w:t>k</w:t>
      </w:r>
      <w:r w:rsidRPr="00F53D05">
        <w:rPr>
          <w:rFonts w:ascii="Times New Roman" w:hAnsi="Times New Roman" w:cs="Times New Roman"/>
          <w:i/>
          <w:iCs/>
          <w:color w:val="000000" w:themeColor="text1"/>
          <w:sz w:val="24"/>
          <w:szCs w:val="24"/>
          <w:vertAlign w:val="subscript"/>
        </w:rPr>
        <w:t>x,t</w:t>
      </w:r>
      <w:r w:rsidRPr="00F53D05">
        <w:rPr>
          <w:rFonts w:ascii="Times New Roman" w:hAnsi="Times New Roman" w:cs="Times New Roman"/>
          <w:color w:val="000000" w:themeColor="text1"/>
          <w:sz w:val="24"/>
          <w:szCs w:val="24"/>
        </w:rPr>
        <w:t xml:space="preserve"> as a function of the predictor variables that affect forest loss at location </w:t>
      </w:r>
      <w:r w:rsidRPr="00F53D05">
        <w:rPr>
          <w:rFonts w:ascii="Times New Roman" w:hAnsi="Times New Roman" w:cs="Times New Roman"/>
          <w:i/>
          <w:iCs/>
          <w:color w:val="000000" w:themeColor="text1"/>
          <w:sz w:val="24"/>
          <w:szCs w:val="24"/>
        </w:rPr>
        <w:t xml:space="preserve">x </w:t>
      </w:r>
      <w:r w:rsidRPr="00F53D05">
        <w:rPr>
          <w:rFonts w:ascii="Times New Roman" w:hAnsi="Times New Roman" w:cs="Times New Roman"/>
          <w:color w:val="000000" w:themeColor="text1"/>
          <w:sz w:val="24"/>
          <w:szCs w:val="24"/>
        </w:rPr>
        <w:t xml:space="preserve">and time </w:t>
      </w:r>
      <w:r w:rsidRPr="00F53D05">
        <w:rPr>
          <w:rFonts w:ascii="Times New Roman" w:hAnsi="Times New Roman" w:cs="Times New Roman"/>
          <w:i/>
          <w:iCs/>
          <w:color w:val="000000" w:themeColor="text1"/>
          <w:sz w:val="24"/>
          <w:szCs w:val="24"/>
        </w:rPr>
        <w:t>t</w:t>
      </w:r>
      <w:r w:rsidRPr="00F53D05">
        <w:rPr>
          <w:rFonts w:ascii="Times New Roman" w:hAnsi="Times New Roman" w:cs="Times New Roman"/>
          <w:color w:val="000000" w:themeColor="text1"/>
          <w:sz w:val="24"/>
          <w:szCs w:val="24"/>
        </w:rPr>
        <w:t>.</w:t>
      </w:r>
    </w:p>
    <w:p w14:paraId="0E44D7F6" w14:textId="77777777" w:rsidR="00384FD3" w:rsidRPr="00F53D05" w:rsidRDefault="00384FD3" w:rsidP="00384FD3">
      <w:pPr>
        <w:spacing w:before="173" w:line="480" w:lineRule="auto"/>
        <w:ind w:firstLine="720"/>
        <w:rPr>
          <w:rFonts w:ascii="Times New Roman" w:hAnsi="Times New Roman" w:cs="Times New Roman"/>
          <w:color w:val="000000" w:themeColor="text1"/>
          <w:sz w:val="24"/>
          <w:szCs w:val="24"/>
        </w:rPr>
      </w:pPr>
      <w:r w:rsidRPr="00F53D05">
        <w:rPr>
          <w:rFonts w:ascii="Times New Roman" w:hAnsi="Times New Roman" w:cs="Times New Roman"/>
          <w:color w:val="000000" w:themeColor="text1"/>
          <w:sz w:val="24"/>
          <w:szCs w:val="24"/>
        </w:rPr>
        <w:t xml:space="preserve">Using a forward stepwise regression, a set of models was fitted to the observed forest loss data (2014 – 2018). Each model differed in the combination of predictor variables that define </w:t>
      </w:r>
      <w:r w:rsidRPr="00F53D05">
        <w:rPr>
          <w:rFonts w:ascii="Times New Roman" w:hAnsi="Times New Roman" w:cs="Times New Roman"/>
          <w:i/>
          <w:iCs/>
          <w:color w:val="000000" w:themeColor="text1"/>
          <w:sz w:val="24"/>
          <w:szCs w:val="24"/>
        </w:rPr>
        <w:t>k</w:t>
      </w:r>
      <w:r w:rsidRPr="00F53D05">
        <w:rPr>
          <w:rFonts w:ascii="Times New Roman" w:hAnsi="Times New Roman" w:cs="Times New Roman"/>
          <w:i/>
          <w:iCs/>
          <w:color w:val="000000" w:themeColor="text1"/>
          <w:sz w:val="24"/>
          <w:szCs w:val="24"/>
          <w:vertAlign w:val="subscript"/>
        </w:rPr>
        <w:t>x,t</w:t>
      </w:r>
      <w:r w:rsidRPr="00F53D05">
        <w:rPr>
          <w:rFonts w:ascii="Times New Roman" w:hAnsi="Times New Roman" w:cs="Times New Roman"/>
          <w:color w:val="000000" w:themeColor="text1"/>
          <w:sz w:val="24"/>
          <w:szCs w:val="24"/>
        </w:rPr>
        <w:t xml:space="preserve">. The total number of models was depended on the number of predictors for the respective sub-regions and varied from 56 to 79. The models were fitted using ‘Filzbach’, a freely available library (https://github.com/predictionmachines/Filzbach), which uses a Markov Chain Monte Carlo (MCMC) sampling method to return a posterior probability distribution for each parameter. From this distribution, given a specific parameter </w:t>
      </w:r>
      <w:r w:rsidRPr="00F53D05">
        <w:rPr>
          <w:rFonts w:ascii="Times New Roman" w:hAnsi="Times New Roman" w:cs="Times New Roman"/>
          <w:color w:val="000000" w:themeColor="text1"/>
          <w:sz w:val="24"/>
          <w:szCs w:val="24"/>
        </w:rPr>
        <w:lastRenderedPageBreak/>
        <w:t xml:space="preserve">combination </w:t>
      </w:r>
      <w:r w:rsidRPr="00F53D05">
        <w:rPr>
          <w:rFonts w:ascii="Times New Roman" w:eastAsia="Noto Sans CJK SC Regular" w:hAnsi="Times New Roman" w:cs="Times New Roman"/>
          <w:color w:val="000000" w:themeColor="text1"/>
          <w:sz w:val="24"/>
          <w:szCs w:val="24"/>
        </w:rPr>
        <w:t>ϴ,</w:t>
      </w:r>
      <w:r w:rsidRPr="00F53D05">
        <w:rPr>
          <w:rFonts w:ascii="Times New Roman" w:hAnsi="Times New Roman" w:cs="Times New Roman"/>
          <w:color w:val="000000" w:themeColor="text1"/>
          <w:sz w:val="24"/>
          <w:szCs w:val="24"/>
        </w:rPr>
        <w:t xml:space="preserve"> the posterior mean and credible interval was extracted. To estimate the parameters, the log-likelihood, a measure of the goodness of fit between the observations and the model predictions, is defined for a particular combination of variables:</w:t>
      </w:r>
    </w:p>
    <w:tbl>
      <w:tblPr>
        <w:tblW w:w="9632" w:type="dxa"/>
        <w:tblLayout w:type="fixed"/>
        <w:tblCellMar>
          <w:top w:w="55" w:type="dxa"/>
          <w:left w:w="55" w:type="dxa"/>
          <w:bottom w:w="55" w:type="dxa"/>
          <w:right w:w="55" w:type="dxa"/>
        </w:tblCellMar>
        <w:tblLook w:val="0000" w:firstRow="0" w:lastRow="0" w:firstColumn="0" w:lastColumn="0" w:noHBand="0" w:noVBand="0"/>
      </w:tblPr>
      <w:tblGrid>
        <w:gridCol w:w="8566"/>
        <w:gridCol w:w="1066"/>
      </w:tblGrid>
      <w:tr w:rsidR="00384FD3" w:rsidRPr="00F53D05" w14:paraId="5F25DA37" w14:textId="77777777" w:rsidTr="000A5ECA">
        <w:trPr>
          <w:tblHeader/>
        </w:trPr>
        <w:tc>
          <w:tcPr>
            <w:tcW w:w="8566" w:type="dxa"/>
            <w:vAlign w:val="center"/>
          </w:tcPr>
          <w:p w14:paraId="021DA5DA" w14:textId="77777777" w:rsidR="00384FD3" w:rsidRPr="00F53D05" w:rsidRDefault="00384FD3" w:rsidP="000A5ECA">
            <w:pPr>
              <w:pStyle w:val="TableContents"/>
              <w:spacing w:line="480" w:lineRule="auto"/>
              <w:rPr>
                <w:rFonts w:cs="Times New Roman"/>
                <w:color w:val="000000" w:themeColor="text1"/>
                <w:sz w:val="24"/>
                <w:szCs w:val="24"/>
              </w:rPr>
            </w:pPr>
            <m:oMathPara>
              <m:oMathParaPr>
                <m:jc m:val="center"/>
              </m:oMathParaPr>
              <m:oMath>
                <m:r>
                  <w:rPr>
                    <w:rFonts w:ascii="Cambria Math" w:hAnsi="Cambria Math" w:cs="Times New Roman"/>
                    <w:color w:val="000000" w:themeColor="text1"/>
                    <w:sz w:val="24"/>
                    <w:szCs w:val="24"/>
                  </w:rPr>
                  <m:t>L</m:t>
                </m:r>
                <m:d>
                  <m:dPr>
                    <m:ctrlPr>
                      <w:rPr>
                        <w:rFonts w:ascii="Cambria Math" w:hAnsi="Cambria Math" w:cs="Times New Roman"/>
                        <w:color w:val="000000" w:themeColor="text1"/>
                        <w:sz w:val="24"/>
                        <w:szCs w:val="24"/>
                      </w:rPr>
                    </m:ctrlPr>
                  </m:dPr>
                  <m:e>
                    <m:r>
                      <w:rPr>
                        <w:rFonts w:ascii="Cambria Math" w:hAnsi="Cambria Math" w:cs="Times New Roman"/>
                        <w:color w:val="000000" w:themeColor="text1"/>
                        <w:sz w:val="24"/>
                        <w:szCs w:val="24"/>
                      </w:rPr>
                      <m:t>X|s,ϴ</m:t>
                    </m:r>
                  </m:e>
                </m:d>
                <m:r>
                  <w:rPr>
                    <w:rFonts w:ascii="Cambria Math" w:hAnsi="Cambria Math" w:cs="Times New Roman"/>
                    <w:color w:val="000000" w:themeColor="text1"/>
                    <w:sz w:val="24"/>
                    <w:szCs w:val="24"/>
                  </w:rPr>
                  <m:t>=</m:t>
                </m:r>
                <m:nary>
                  <m:naryPr>
                    <m:chr m:val="∑"/>
                    <m:subHide m:val="1"/>
                    <m:supHide m:val="1"/>
                    <m:ctrlPr>
                      <w:rPr>
                        <w:rFonts w:ascii="Cambria Math" w:hAnsi="Cambria Math" w:cs="Times New Roman"/>
                        <w:color w:val="000000" w:themeColor="text1"/>
                        <w:sz w:val="24"/>
                        <w:szCs w:val="24"/>
                      </w:rPr>
                    </m:ctrlPr>
                  </m:naryPr>
                  <m:sub/>
                  <m:sup/>
                  <m:e>
                    <m:r>
                      <w:rPr>
                        <w:rFonts w:ascii="Cambria Math" w:hAnsi="Cambria Math" w:cs="Times New Roman"/>
                        <w:color w:val="000000" w:themeColor="text1"/>
                        <w:sz w:val="24"/>
                        <w:szCs w:val="24"/>
                      </w:rPr>
                      <m:t>log</m:t>
                    </m:r>
                  </m:e>
                </m:nary>
                <m:d>
                  <m:dPr>
                    <m:ctrlPr>
                      <w:rPr>
                        <w:rFonts w:ascii="Cambria Math" w:hAnsi="Cambria Math" w:cs="Times New Roman"/>
                        <w:color w:val="000000" w:themeColor="text1"/>
                        <w:sz w:val="24"/>
                        <w:szCs w:val="24"/>
                      </w:rPr>
                    </m:ctrlPr>
                  </m:dPr>
                  <m:e>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Ζ</m:t>
                        </m:r>
                      </m:e>
                      <m:sub>
                        <m:r>
                          <w:rPr>
                            <w:rFonts w:ascii="Cambria Math" w:hAnsi="Cambria Math" w:cs="Times New Roman"/>
                            <w:color w:val="000000" w:themeColor="text1"/>
                            <w:sz w:val="24"/>
                            <w:szCs w:val="24"/>
                          </w:rPr>
                          <m:t>x,t</m:t>
                        </m:r>
                      </m:sub>
                    </m:sSub>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Ptrloss</m:t>
                        </m:r>
                      </m:e>
                      <m:sub>
                        <m:r>
                          <w:rPr>
                            <w:rFonts w:ascii="Cambria Math" w:hAnsi="Cambria Math" w:cs="Times New Roman"/>
                            <w:color w:val="000000" w:themeColor="text1"/>
                            <w:sz w:val="24"/>
                            <w:szCs w:val="24"/>
                          </w:rPr>
                          <m:t>x,t</m:t>
                        </m:r>
                      </m:sub>
                    </m:sSub>
                    <m:r>
                      <w:rPr>
                        <w:rFonts w:ascii="Cambria Math" w:hAnsi="Cambria Math" w:cs="Times New Roman"/>
                        <w:color w:val="000000" w:themeColor="text1"/>
                        <w:sz w:val="24"/>
                        <w:szCs w:val="24"/>
                      </w:rPr>
                      <m:t>+</m:t>
                    </m:r>
                    <m:d>
                      <m:dPr>
                        <m:ctrlPr>
                          <w:rPr>
                            <w:rFonts w:ascii="Cambria Math" w:hAnsi="Cambria Math" w:cs="Times New Roman"/>
                            <w:color w:val="000000" w:themeColor="text1"/>
                            <w:sz w:val="24"/>
                            <w:szCs w:val="24"/>
                          </w:rPr>
                        </m:ctrlPr>
                      </m:dPr>
                      <m:e>
                        <m:r>
                          <w:rPr>
                            <w:rFonts w:ascii="Cambria Math" w:hAnsi="Cambria Math" w:cs="Times New Roman"/>
                            <w:color w:val="000000" w:themeColor="text1"/>
                            <w:sz w:val="24"/>
                            <w:szCs w:val="24"/>
                          </w:rPr>
                          <m:t>1-</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Ζ</m:t>
                            </m:r>
                          </m:e>
                          <m:sub>
                            <m:r>
                              <w:rPr>
                                <w:rFonts w:ascii="Cambria Math" w:hAnsi="Cambria Math" w:cs="Times New Roman"/>
                                <w:color w:val="000000" w:themeColor="text1"/>
                                <w:sz w:val="24"/>
                                <w:szCs w:val="24"/>
                              </w:rPr>
                              <m:t>x,t</m:t>
                            </m:r>
                          </m:sub>
                        </m:sSub>
                      </m:e>
                    </m:d>
                    <m:d>
                      <m:dPr>
                        <m:ctrlPr>
                          <w:rPr>
                            <w:rFonts w:ascii="Cambria Math" w:hAnsi="Cambria Math" w:cs="Times New Roman"/>
                            <w:color w:val="000000" w:themeColor="text1"/>
                            <w:sz w:val="24"/>
                            <w:szCs w:val="24"/>
                          </w:rPr>
                        </m:ctrlPr>
                      </m:dPr>
                      <m:e>
                        <m:r>
                          <w:rPr>
                            <w:rFonts w:ascii="Cambria Math" w:hAnsi="Cambria Math" w:cs="Times New Roman"/>
                            <w:color w:val="000000" w:themeColor="text1"/>
                            <w:sz w:val="24"/>
                            <w:szCs w:val="24"/>
                          </w:rPr>
                          <m:t>1-</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Ptrloss</m:t>
                            </m:r>
                          </m:e>
                          <m:sub>
                            <m:r>
                              <w:rPr>
                                <w:rFonts w:ascii="Cambria Math" w:hAnsi="Cambria Math" w:cs="Times New Roman"/>
                                <w:color w:val="000000" w:themeColor="text1"/>
                                <w:sz w:val="24"/>
                                <w:szCs w:val="24"/>
                              </w:rPr>
                              <m:t>x,t</m:t>
                            </m:r>
                          </m:sub>
                        </m:sSub>
                      </m:e>
                    </m:d>
                  </m:e>
                </m:d>
              </m:oMath>
            </m:oMathPara>
          </w:p>
        </w:tc>
        <w:tc>
          <w:tcPr>
            <w:tcW w:w="1066" w:type="dxa"/>
            <w:vAlign w:val="center"/>
          </w:tcPr>
          <w:p w14:paraId="4670597D" w14:textId="77777777" w:rsidR="00384FD3" w:rsidRPr="00F53D05" w:rsidRDefault="00384FD3" w:rsidP="000A5ECA">
            <w:pPr>
              <w:pStyle w:val="TableContents"/>
              <w:spacing w:line="480" w:lineRule="auto"/>
              <w:jc w:val="right"/>
              <w:rPr>
                <w:rFonts w:cs="Times New Roman"/>
                <w:color w:val="000000" w:themeColor="text1"/>
                <w:sz w:val="24"/>
                <w:szCs w:val="24"/>
              </w:rPr>
            </w:pPr>
            <w:r w:rsidRPr="00F53D05">
              <w:rPr>
                <w:rFonts w:cs="Times New Roman"/>
                <w:color w:val="000000" w:themeColor="text1"/>
                <w:sz w:val="24"/>
                <w:szCs w:val="24"/>
              </w:rPr>
              <w:t>(</w:t>
            </w:r>
            <w:r w:rsidRPr="00F53D05">
              <w:rPr>
                <w:rFonts w:cs="Times New Roman"/>
                <w:color w:val="000000" w:themeColor="text1"/>
                <w:sz w:val="24"/>
                <w:szCs w:val="24"/>
              </w:rPr>
              <w:fldChar w:fldCharType="begin"/>
            </w:r>
            <w:r w:rsidRPr="00F53D05">
              <w:rPr>
                <w:rFonts w:cs="Times New Roman"/>
                <w:color w:val="000000" w:themeColor="text1"/>
                <w:sz w:val="24"/>
                <w:szCs w:val="24"/>
              </w:rPr>
              <w:instrText>SEQ Text \* ARABIC</w:instrText>
            </w:r>
            <w:r w:rsidRPr="00F53D05">
              <w:rPr>
                <w:rFonts w:cs="Times New Roman"/>
                <w:color w:val="000000" w:themeColor="text1"/>
                <w:sz w:val="24"/>
                <w:szCs w:val="24"/>
              </w:rPr>
              <w:fldChar w:fldCharType="separate"/>
            </w:r>
            <w:r w:rsidRPr="00F53D05">
              <w:rPr>
                <w:rFonts w:cs="Times New Roman"/>
                <w:noProof/>
                <w:color w:val="000000" w:themeColor="text1"/>
                <w:sz w:val="24"/>
                <w:szCs w:val="24"/>
              </w:rPr>
              <w:t>2</w:t>
            </w:r>
            <w:r w:rsidRPr="00F53D05">
              <w:rPr>
                <w:rFonts w:cs="Times New Roman"/>
                <w:color w:val="000000" w:themeColor="text1"/>
                <w:sz w:val="24"/>
                <w:szCs w:val="24"/>
              </w:rPr>
              <w:fldChar w:fldCharType="end"/>
            </w:r>
            <w:r w:rsidRPr="00F53D05">
              <w:rPr>
                <w:rFonts w:cs="Times New Roman"/>
                <w:color w:val="000000" w:themeColor="text1"/>
                <w:sz w:val="24"/>
                <w:szCs w:val="24"/>
              </w:rPr>
              <w:t>)</w:t>
            </w:r>
          </w:p>
        </w:tc>
      </w:tr>
    </w:tbl>
    <w:p w14:paraId="4A315D9A" w14:textId="77777777" w:rsidR="00384FD3" w:rsidRPr="00F53D05" w:rsidRDefault="00384FD3" w:rsidP="00384FD3">
      <w:pPr>
        <w:spacing w:before="173" w:line="480" w:lineRule="auto"/>
        <w:rPr>
          <w:rFonts w:ascii="Times New Roman" w:hAnsi="Times New Roman" w:cs="Times New Roman"/>
          <w:color w:val="000000" w:themeColor="text1"/>
          <w:sz w:val="24"/>
          <w:szCs w:val="24"/>
        </w:rPr>
      </w:pPr>
      <w:r w:rsidRPr="00F53D05">
        <w:rPr>
          <w:rFonts w:ascii="Times New Roman" w:hAnsi="Times New Roman" w:cs="Times New Roman"/>
          <w:color w:val="000000" w:themeColor="text1"/>
          <w:sz w:val="24"/>
          <w:szCs w:val="24"/>
        </w:rPr>
        <w:t xml:space="preserve">in which </w:t>
      </w:r>
      <w:r w:rsidRPr="00F53D05">
        <w:rPr>
          <w:rFonts w:ascii="Times New Roman" w:eastAsia="Noto Sans CJK SC Regular" w:hAnsi="Times New Roman" w:cs="Times New Roman"/>
          <w:i/>
          <w:iCs/>
          <w:color w:val="000000" w:themeColor="text1"/>
          <w:sz w:val="24"/>
          <w:szCs w:val="24"/>
        </w:rPr>
        <w:t>Ζ</w:t>
      </w:r>
      <w:r w:rsidRPr="00F53D05">
        <w:rPr>
          <w:rFonts w:ascii="Times New Roman" w:hAnsi="Times New Roman" w:cs="Times New Roman"/>
          <w:i/>
          <w:iCs/>
          <w:color w:val="000000" w:themeColor="text1"/>
          <w:sz w:val="24"/>
          <w:szCs w:val="24"/>
          <w:vertAlign w:val="subscript"/>
        </w:rPr>
        <w:t xml:space="preserve">x,t </w:t>
      </w:r>
      <w:r w:rsidRPr="00F53D05">
        <w:rPr>
          <w:rFonts w:ascii="Times New Roman" w:hAnsi="Times New Roman" w:cs="Times New Roman"/>
          <w:color w:val="000000" w:themeColor="text1"/>
          <w:sz w:val="24"/>
          <w:szCs w:val="24"/>
        </w:rPr>
        <w:t xml:space="preserve">is the observed forest loss at location </w:t>
      </w:r>
      <w:r w:rsidRPr="00F53D05">
        <w:rPr>
          <w:rFonts w:ascii="Times New Roman" w:hAnsi="Times New Roman" w:cs="Times New Roman"/>
          <w:i/>
          <w:iCs/>
          <w:color w:val="000000" w:themeColor="text1"/>
          <w:sz w:val="24"/>
          <w:szCs w:val="24"/>
        </w:rPr>
        <w:t>x</w:t>
      </w:r>
      <w:r w:rsidRPr="00F53D05">
        <w:rPr>
          <w:rFonts w:ascii="Times New Roman" w:hAnsi="Times New Roman" w:cs="Times New Roman"/>
          <w:color w:val="000000" w:themeColor="text1"/>
          <w:sz w:val="24"/>
          <w:szCs w:val="24"/>
        </w:rPr>
        <w:t xml:space="preserve"> and time </w:t>
      </w:r>
      <w:r w:rsidRPr="00F53D05">
        <w:rPr>
          <w:rFonts w:ascii="Times New Roman" w:hAnsi="Times New Roman" w:cs="Times New Roman"/>
          <w:i/>
          <w:iCs/>
          <w:color w:val="000000" w:themeColor="text1"/>
          <w:sz w:val="24"/>
          <w:szCs w:val="24"/>
        </w:rPr>
        <w:t>t,</w:t>
      </w:r>
      <w:r w:rsidRPr="00F53D05">
        <w:rPr>
          <w:rFonts w:ascii="Times New Roman" w:hAnsi="Times New Roman" w:cs="Times New Roman"/>
          <w:color w:val="000000" w:themeColor="text1"/>
          <w:sz w:val="24"/>
          <w:szCs w:val="24"/>
        </w:rPr>
        <w:t xml:space="preserve"> and </w:t>
      </w:r>
      <w:r w:rsidRPr="00F53D05">
        <w:rPr>
          <w:rFonts w:ascii="Times New Roman" w:hAnsi="Times New Roman" w:cs="Times New Roman"/>
          <w:i/>
          <w:iCs/>
          <w:color w:val="000000" w:themeColor="text1"/>
          <w:sz w:val="24"/>
          <w:szCs w:val="24"/>
        </w:rPr>
        <w:t>s</w:t>
      </w:r>
      <w:r w:rsidRPr="00F53D05">
        <w:rPr>
          <w:rFonts w:ascii="Times New Roman" w:hAnsi="Times New Roman" w:cs="Times New Roman"/>
          <w:color w:val="000000" w:themeColor="text1"/>
          <w:sz w:val="24"/>
          <w:szCs w:val="24"/>
        </w:rPr>
        <w:t xml:space="preserve"> one of the models considered.</w:t>
      </w:r>
    </w:p>
    <w:p w14:paraId="62E0ACD1" w14:textId="77777777" w:rsidR="00384FD3" w:rsidRPr="00F53D05" w:rsidRDefault="00384FD3" w:rsidP="00384FD3">
      <w:pPr>
        <w:spacing w:before="173" w:line="480" w:lineRule="auto"/>
        <w:ind w:firstLine="720"/>
        <w:rPr>
          <w:rFonts w:ascii="Times New Roman" w:hAnsi="Times New Roman" w:cs="Times New Roman"/>
          <w:color w:val="000000" w:themeColor="text1"/>
          <w:sz w:val="24"/>
          <w:szCs w:val="24"/>
        </w:rPr>
      </w:pPr>
      <w:r w:rsidRPr="00F53D05">
        <w:rPr>
          <w:rFonts w:ascii="Times New Roman" w:hAnsi="Times New Roman" w:cs="Times New Roman"/>
          <w:color w:val="000000" w:themeColor="text1"/>
          <w:sz w:val="24"/>
          <w:szCs w:val="24"/>
        </w:rPr>
        <w:t>A cross-validation technique was used to assess the predictive power gained by adding variables to the model. This technique allowed us to check how accurately the model predictions compared to a randomly selected subset of 50% of the data that was not used to train the model. This cross-validation is necessary to find models that only comprise predictors with evident predictive ability. After successively adding the variable that resulted in the highest likelihood model, the overall best model (i.e. the one with the maximum test likelihood) was selected from the whole set of models for each province.</w:t>
      </w:r>
    </w:p>
    <w:p w14:paraId="6052BFE4" w14:textId="77777777" w:rsidR="00384FD3" w:rsidRPr="00F53D05" w:rsidRDefault="00384FD3" w:rsidP="00384FD3">
      <w:pPr>
        <w:pStyle w:val="Heading2"/>
        <w:rPr>
          <w:rFonts w:cs="Times New Roman"/>
          <w:szCs w:val="24"/>
        </w:rPr>
      </w:pPr>
      <w:r w:rsidRPr="00F53D05">
        <w:rPr>
          <w:rFonts w:cs="Times New Roman"/>
          <w:szCs w:val="24"/>
        </w:rPr>
        <w:t>Simulations</w:t>
      </w:r>
    </w:p>
    <w:p w14:paraId="6198723B" w14:textId="77777777" w:rsidR="00384FD3" w:rsidRPr="00F53D05" w:rsidRDefault="00384FD3" w:rsidP="00384FD3">
      <w:pPr>
        <w:tabs>
          <w:tab w:val="left" w:pos="709"/>
        </w:tabs>
        <w:spacing w:before="173" w:line="480" w:lineRule="auto"/>
        <w:rPr>
          <w:rFonts w:ascii="Times New Roman" w:hAnsi="Times New Roman" w:cs="Times New Roman"/>
          <w:color w:val="000000" w:themeColor="text1"/>
          <w:sz w:val="24"/>
          <w:szCs w:val="24"/>
        </w:rPr>
      </w:pPr>
      <w:r w:rsidRPr="00F53D05">
        <w:rPr>
          <w:rFonts w:ascii="Times New Roman" w:hAnsi="Times New Roman" w:cs="Times New Roman"/>
          <w:color w:val="000000" w:themeColor="text1"/>
          <w:sz w:val="24"/>
          <w:szCs w:val="24"/>
        </w:rPr>
        <w:t xml:space="preserve">The simulation was based on recalculating equation (1) for each time-step, while using a slightly different set of parameter values at each iteration, thereby incorporating parameter uncertainty. These values were drawn from a Gaussian distribution resulting from the MCMC fitting, using the estimated mean and standard deviation for each parameter. As a result we received an updated </w:t>
      </w:r>
      <w:r w:rsidRPr="00F53D05">
        <w:rPr>
          <w:rFonts w:ascii="Times New Roman" w:hAnsi="Times New Roman" w:cs="Times New Roman"/>
          <w:i/>
          <w:iCs/>
          <w:color w:val="000000" w:themeColor="text1"/>
          <w:sz w:val="24"/>
          <w:szCs w:val="24"/>
        </w:rPr>
        <w:t>P</w:t>
      </w:r>
      <w:r w:rsidRPr="00F53D05">
        <w:rPr>
          <w:rFonts w:ascii="Times New Roman" w:hAnsi="Times New Roman" w:cs="Times New Roman"/>
          <w:i/>
          <w:iCs/>
          <w:color w:val="000000" w:themeColor="text1"/>
          <w:sz w:val="24"/>
          <w:szCs w:val="24"/>
          <w:vertAlign w:val="subscript"/>
        </w:rPr>
        <w:t xml:space="preserve">trloss,x,t </w:t>
      </w:r>
      <w:r w:rsidRPr="00F53D05">
        <w:rPr>
          <w:rFonts w:ascii="Times New Roman" w:hAnsi="Times New Roman" w:cs="Times New Roman"/>
          <w:color w:val="000000" w:themeColor="text1"/>
          <w:sz w:val="24"/>
          <w:szCs w:val="24"/>
        </w:rPr>
        <w:t xml:space="preserve">for each individual pixel in each individual time period. We subsequently evaluated whether or not the respective pixel was lost, by drawing a random number from a uniform distribution between 0 and 1. We then classified the pixel as lost if the number was less than the probability of deforestation </w:t>
      </w:r>
      <w:r w:rsidRPr="00F53D05">
        <w:rPr>
          <w:rFonts w:ascii="Times New Roman" w:hAnsi="Times New Roman" w:cs="Times New Roman"/>
          <w:i/>
          <w:iCs/>
          <w:color w:val="000000" w:themeColor="text1"/>
          <w:sz w:val="24"/>
          <w:szCs w:val="24"/>
        </w:rPr>
        <w:t>P</w:t>
      </w:r>
      <w:r w:rsidRPr="00F53D05">
        <w:rPr>
          <w:rFonts w:ascii="Times New Roman" w:hAnsi="Times New Roman" w:cs="Times New Roman"/>
          <w:i/>
          <w:iCs/>
          <w:color w:val="000000" w:themeColor="text1"/>
          <w:sz w:val="24"/>
          <w:szCs w:val="24"/>
          <w:vertAlign w:val="subscript"/>
        </w:rPr>
        <w:t>trloss,x,t</w:t>
      </w:r>
      <w:r w:rsidRPr="00F53D05">
        <w:rPr>
          <w:rFonts w:ascii="Times New Roman" w:hAnsi="Times New Roman" w:cs="Times New Roman"/>
          <w:color w:val="000000" w:themeColor="text1"/>
          <w:sz w:val="24"/>
          <w:szCs w:val="24"/>
        </w:rPr>
        <w:t xml:space="preserve">. This procedure was repeated for all seven time-steps and run multiple times (n = 100 iterations) to assess the </w:t>
      </w:r>
      <w:r w:rsidRPr="00F53D05">
        <w:rPr>
          <w:rFonts w:ascii="Times New Roman" w:hAnsi="Times New Roman" w:cs="Times New Roman"/>
          <w:color w:val="000000" w:themeColor="text1"/>
          <w:sz w:val="24"/>
          <w:szCs w:val="24"/>
        </w:rPr>
        <w:lastRenderedPageBreak/>
        <w:t xml:space="preserve">uncertainty in model predictions over time. The different iterations were aggregated into the summed probability of deforestation and represent the fraction of simulation runs in which the forest in a pixel </w:t>
      </w:r>
      <w:r w:rsidRPr="00F53D05">
        <w:rPr>
          <w:rFonts w:ascii="Times New Roman" w:hAnsi="Times New Roman" w:cs="Times New Roman"/>
          <w:i/>
          <w:iCs/>
          <w:color w:val="000000" w:themeColor="text1"/>
          <w:sz w:val="24"/>
          <w:szCs w:val="24"/>
        </w:rPr>
        <w:t>x</w:t>
      </w:r>
      <w:r w:rsidRPr="00F53D05">
        <w:rPr>
          <w:rFonts w:ascii="Times New Roman" w:hAnsi="Times New Roman" w:cs="Times New Roman"/>
          <w:color w:val="000000" w:themeColor="text1"/>
          <w:sz w:val="24"/>
          <w:szCs w:val="24"/>
        </w:rPr>
        <w:t xml:space="preserve"> was lost</w:t>
      </w:r>
      <w:r w:rsidR="00FE5CFD" w:rsidRPr="00F53D05">
        <w:rPr>
          <w:rFonts w:ascii="Times New Roman" w:hAnsi="Times New Roman" w:cs="Times New Roman"/>
          <w:color w:val="000000" w:themeColor="text1"/>
          <w:sz w:val="24"/>
          <w:szCs w:val="24"/>
        </w:rPr>
        <w:t xml:space="preserve"> (summed_deforestation_probability_20xx_20xx_Wallacea.tif)</w:t>
      </w:r>
      <w:r w:rsidRPr="00F53D05">
        <w:rPr>
          <w:rFonts w:ascii="Times New Roman" w:hAnsi="Times New Roman" w:cs="Times New Roman"/>
          <w:color w:val="000000" w:themeColor="text1"/>
          <w:sz w:val="24"/>
          <w:szCs w:val="24"/>
        </w:rPr>
        <w:t xml:space="preserve">. All predictor variables were treated as static predictors by the model (only one time-step was considered), apart from forest loss in the neighbourhood of a pixel, which was dynamically updated by the model in each time-step. </w:t>
      </w:r>
    </w:p>
    <w:p w14:paraId="30632A8F" w14:textId="77777777" w:rsidR="00384FD3" w:rsidRPr="00F53D05" w:rsidRDefault="00384FD3" w:rsidP="009909E8">
      <w:pPr>
        <w:rPr>
          <w:rFonts w:ascii="Times New Roman" w:hAnsi="Times New Roman" w:cs="Times New Roman"/>
          <w:sz w:val="24"/>
          <w:szCs w:val="24"/>
        </w:rPr>
      </w:pPr>
    </w:p>
    <w:p w14:paraId="676483B8" w14:textId="77777777" w:rsidR="009909E8" w:rsidRPr="00F53D05" w:rsidRDefault="00384FD3" w:rsidP="009909E8">
      <w:pPr>
        <w:rPr>
          <w:rFonts w:ascii="Times New Roman" w:hAnsi="Times New Roman" w:cs="Times New Roman"/>
          <w:sz w:val="24"/>
          <w:szCs w:val="24"/>
        </w:rPr>
      </w:pPr>
      <w:r w:rsidRPr="00F53D05">
        <w:rPr>
          <w:rFonts w:ascii="Times New Roman" w:hAnsi="Times New Roman" w:cs="Times New Roman"/>
          <w:sz w:val="24"/>
          <w:szCs w:val="24"/>
        </w:rPr>
        <w:t>REFERENCES</w:t>
      </w:r>
    </w:p>
    <w:p w14:paraId="161E0688" w14:textId="77777777" w:rsidR="00384FD3" w:rsidRPr="00F53D05" w:rsidRDefault="00384FD3" w:rsidP="00384FD3">
      <w:pPr>
        <w:pStyle w:val="Bibliography"/>
        <w:rPr>
          <w:rFonts w:ascii="Times New Roman" w:hAnsi="Times New Roman" w:cs="Times New Roman"/>
          <w:sz w:val="24"/>
          <w:szCs w:val="24"/>
        </w:rPr>
      </w:pPr>
      <w:r w:rsidRPr="00F53D05">
        <w:rPr>
          <w:rFonts w:ascii="Times New Roman" w:hAnsi="Times New Roman" w:cs="Times New Roman"/>
          <w:sz w:val="24"/>
          <w:szCs w:val="24"/>
        </w:rPr>
        <w:fldChar w:fldCharType="begin"/>
      </w:r>
      <w:r w:rsidRPr="00F53D05">
        <w:rPr>
          <w:rFonts w:ascii="Times New Roman" w:hAnsi="Times New Roman" w:cs="Times New Roman"/>
          <w:sz w:val="24"/>
          <w:szCs w:val="24"/>
        </w:rPr>
        <w:instrText xml:space="preserve"> ADDIN ZOTERO_BIBL {"uncited":[],"omitted":[],"custom":[]} CSL_BIBLIOGRAPHY </w:instrText>
      </w:r>
      <w:r w:rsidRPr="00F53D05">
        <w:rPr>
          <w:rFonts w:ascii="Times New Roman" w:hAnsi="Times New Roman" w:cs="Times New Roman"/>
          <w:sz w:val="24"/>
          <w:szCs w:val="24"/>
        </w:rPr>
        <w:fldChar w:fldCharType="separate"/>
      </w:r>
      <w:r w:rsidRPr="00F53D05">
        <w:rPr>
          <w:rFonts w:ascii="Times New Roman" w:hAnsi="Times New Roman" w:cs="Times New Roman"/>
          <w:sz w:val="24"/>
          <w:szCs w:val="24"/>
        </w:rPr>
        <w:t xml:space="preserve">Deere N J, Guillera‐Arroita G, Platts P J, Mitchell S L, Baking E L, Bernard H, Haysom J K, Reynolds G, Seaman D J I, Davies Z G and Struebig M J 2020 Implications of zero-deforestation commitments: Forest quality and hunting pressure limit mammal persistence in fragmented tropical landscapes </w:t>
      </w:r>
      <w:r w:rsidRPr="00F53D05">
        <w:rPr>
          <w:rFonts w:ascii="Times New Roman" w:hAnsi="Times New Roman" w:cs="Times New Roman"/>
          <w:i/>
          <w:iCs/>
          <w:sz w:val="24"/>
          <w:szCs w:val="24"/>
        </w:rPr>
        <w:t>Conservation Letters</w:t>
      </w:r>
      <w:r w:rsidRPr="00F53D05">
        <w:rPr>
          <w:rFonts w:ascii="Times New Roman" w:hAnsi="Times New Roman" w:cs="Times New Roman"/>
          <w:sz w:val="24"/>
          <w:szCs w:val="24"/>
        </w:rPr>
        <w:t xml:space="preserve"> </w:t>
      </w:r>
      <w:r w:rsidRPr="00F53D05">
        <w:rPr>
          <w:rFonts w:ascii="Times New Roman" w:hAnsi="Times New Roman" w:cs="Times New Roman"/>
          <w:b/>
          <w:bCs/>
          <w:sz w:val="24"/>
          <w:szCs w:val="24"/>
        </w:rPr>
        <w:t>13</w:t>
      </w:r>
      <w:r w:rsidRPr="00F53D05">
        <w:rPr>
          <w:rFonts w:ascii="Times New Roman" w:hAnsi="Times New Roman" w:cs="Times New Roman"/>
          <w:sz w:val="24"/>
          <w:szCs w:val="24"/>
        </w:rPr>
        <w:t xml:space="preserve"> e12701</w:t>
      </w:r>
    </w:p>
    <w:p w14:paraId="18ED5D56" w14:textId="77777777" w:rsidR="00384FD3" w:rsidRPr="00F53D05" w:rsidRDefault="00384FD3" w:rsidP="00384FD3">
      <w:pPr>
        <w:pStyle w:val="Bibliography"/>
        <w:rPr>
          <w:rFonts w:ascii="Times New Roman" w:hAnsi="Times New Roman" w:cs="Times New Roman"/>
          <w:sz w:val="24"/>
          <w:szCs w:val="24"/>
        </w:rPr>
      </w:pPr>
      <w:r w:rsidRPr="00F53D05">
        <w:rPr>
          <w:rFonts w:ascii="Times New Roman" w:hAnsi="Times New Roman" w:cs="Times New Roman"/>
          <w:sz w:val="24"/>
          <w:szCs w:val="24"/>
        </w:rPr>
        <w:t xml:space="preserve">Esri 2020 </w:t>
      </w:r>
      <w:r w:rsidRPr="00F53D05">
        <w:rPr>
          <w:rFonts w:ascii="Times New Roman" w:hAnsi="Times New Roman" w:cs="Times New Roman"/>
          <w:i/>
          <w:iCs/>
          <w:sz w:val="24"/>
          <w:szCs w:val="24"/>
        </w:rPr>
        <w:t>ArcGIS Pro 2.x</w:t>
      </w:r>
      <w:r w:rsidRPr="00F53D05">
        <w:rPr>
          <w:rFonts w:ascii="Times New Roman" w:hAnsi="Times New Roman" w:cs="Times New Roman"/>
          <w:sz w:val="24"/>
          <w:szCs w:val="24"/>
        </w:rPr>
        <w:t xml:space="preserve"> (Redlands, CA: Environmental Systems Research Institute) Online: www.esri.com/en-us/arcgis/products/arcgis-pro/</w:t>
      </w:r>
    </w:p>
    <w:p w14:paraId="65225C1F" w14:textId="77777777" w:rsidR="00384FD3" w:rsidRPr="00F53D05" w:rsidRDefault="00384FD3" w:rsidP="00384FD3">
      <w:pPr>
        <w:pStyle w:val="Bibliography"/>
        <w:rPr>
          <w:rFonts w:ascii="Times New Roman" w:hAnsi="Times New Roman" w:cs="Times New Roman"/>
          <w:sz w:val="24"/>
          <w:szCs w:val="24"/>
        </w:rPr>
      </w:pPr>
      <w:r w:rsidRPr="00F53D05">
        <w:rPr>
          <w:rFonts w:ascii="Times New Roman" w:hAnsi="Times New Roman" w:cs="Times New Roman"/>
          <w:sz w:val="24"/>
          <w:szCs w:val="24"/>
        </w:rPr>
        <w:t xml:space="preserve">Farr T G, Rosen P A, Caro E, Crippen R, Duren R, Hensley S, Kobrick M, Paller M, Rodriguez E and Roth L 2007 The shuttle radar topography mission </w:t>
      </w:r>
      <w:r w:rsidRPr="00F53D05">
        <w:rPr>
          <w:rFonts w:ascii="Times New Roman" w:hAnsi="Times New Roman" w:cs="Times New Roman"/>
          <w:i/>
          <w:iCs/>
          <w:sz w:val="24"/>
          <w:szCs w:val="24"/>
        </w:rPr>
        <w:t>Reviews of geophysics</w:t>
      </w:r>
      <w:r w:rsidRPr="00F53D05">
        <w:rPr>
          <w:rFonts w:ascii="Times New Roman" w:hAnsi="Times New Roman" w:cs="Times New Roman"/>
          <w:sz w:val="24"/>
          <w:szCs w:val="24"/>
        </w:rPr>
        <w:t xml:space="preserve"> </w:t>
      </w:r>
      <w:r w:rsidRPr="00F53D05">
        <w:rPr>
          <w:rFonts w:ascii="Times New Roman" w:hAnsi="Times New Roman" w:cs="Times New Roman"/>
          <w:b/>
          <w:bCs/>
          <w:sz w:val="24"/>
          <w:szCs w:val="24"/>
        </w:rPr>
        <w:t>45</w:t>
      </w:r>
    </w:p>
    <w:p w14:paraId="7234EDB8" w14:textId="77777777" w:rsidR="00384FD3" w:rsidRPr="00F53D05" w:rsidRDefault="00384FD3" w:rsidP="00384FD3">
      <w:pPr>
        <w:pStyle w:val="Bibliography"/>
        <w:rPr>
          <w:rFonts w:ascii="Times New Roman" w:hAnsi="Times New Roman" w:cs="Times New Roman"/>
          <w:sz w:val="24"/>
          <w:szCs w:val="24"/>
        </w:rPr>
      </w:pPr>
      <w:r w:rsidRPr="00F53D05">
        <w:rPr>
          <w:rFonts w:ascii="Times New Roman" w:hAnsi="Times New Roman" w:cs="Times New Roman"/>
          <w:sz w:val="24"/>
          <w:szCs w:val="24"/>
        </w:rPr>
        <w:t xml:space="preserve">Giri C, Ochieng E, Tieszen L L, Zhu Z, Singh A, Loveland T, Masek J and Duke N 2011 Status and distribution of mangrove forests of the world using earth observation satellite data </w:t>
      </w:r>
      <w:r w:rsidRPr="00F53D05">
        <w:rPr>
          <w:rFonts w:ascii="Times New Roman" w:hAnsi="Times New Roman" w:cs="Times New Roman"/>
          <w:i/>
          <w:iCs/>
          <w:sz w:val="24"/>
          <w:szCs w:val="24"/>
        </w:rPr>
        <w:t>Global Ecology and Biogeography</w:t>
      </w:r>
      <w:r w:rsidRPr="00F53D05">
        <w:rPr>
          <w:rFonts w:ascii="Times New Roman" w:hAnsi="Times New Roman" w:cs="Times New Roman"/>
          <w:sz w:val="24"/>
          <w:szCs w:val="24"/>
        </w:rPr>
        <w:t xml:space="preserve"> </w:t>
      </w:r>
      <w:r w:rsidRPr="00F53D05">
        <w:rPr>
          <w:rFonts w:ascii="Times New Roman" w:hAnsi="Times New Roman" w:cs="Times New Roman"/>
          <w:b/>
          <w:bCs/>
          <w:sz w:val="24"/>
          <w:szCs w:val="24"/>
        </w:rPr>
        <w:t>20</w:t>
      </w:r>
      <w:r w:rsidRPr="00F53D05">
        <w:rPr>
          <w:rFonts w:ascii="Times New Roman" w:hAnsi="Times New Roman" w:cs="Times New Roman"/>
          <w:sz w:val="24"/>
          <w:szCs w:val="24"/>
        </w:rPr>
        <w:t xml:space="preserve"> 154–9</w:t>
      </w:r>
    </w:p>
    <w:p w14:paraId="7390B197" w14:textId="77777777" w:rsidR="00384FD3" w:rsidRPr="00F53D05" w:rsidRDefault="00384FD3" w:rsidP="00384FD3">
      <w:pPr>
        <w:pStyle w:val="Bibliography"/>
        <w:rPr>
          <w:rFonts w:ascii="Times New Roman" w:hAnsi="Times New Roman" w:cs="Times New Roman"/>
          <w:sz w:val="24"/>
          <w:szCs w:val="24"/>
        </w:rPr>
      </w:pPr>
      <w:r w:rsidRPr="00F53D05">
        <w:rPr>
          <w:rFonts w:ascii="Times New Roman" w:hAnsi="Times New Roman" w:cs="Times New Roman"/>
          <w:sz w:val="24"/>
          <w:szCs w:val="24"/>
        </w:rPr>
        <w:t xml:space="preserve">Hansen M C, Potapov P V, Moore R, Hancher M, Turubanova S, Tyukavina A, Thau D, Stehman S V, Goetz S J, Loveland T R, Kommareddy A, Egorov A, Chini L, Justice C O and Townshend J R G 2013 High-Resolution Global Maps of 21st-Century Forest Cover Change </w:t>
      </w:r>
      <w:r w:rsidRPr="00F53D05">
        <w:rPr>
          <w:rFonts w:ascii="Times New Roman" w:hAnsi="Times New Roman" w:cs="Times New Roman"/>
          <w:i/>
          <w:iCs/>
          <w:sz w:val="24"/>
          <w:szCs w:val="24"/>
        </w:rPr>
        <w:t>Science</w:t>
      </w:r>
      <w:r w:rsidRPr="00F53D05">
        <w:rPr>
          <w:rFonts w:ascii="Times New Roman" w:hAnsi="Times New Roman" w:cs="Times New Roman"/>
          <w:sz w:val="24"/>
          <w:szCs w:val="24"/>
        </w:rPr>
        <w:t xml:space="preserve"> </w:t>
      </w:r>
      <w:r w:rsidRPr="00F53D05">
        <w:rPr>
          <w:rFonts w:ascii="Times New Roman" w:hAnsi="Times New Roman" w:cs="Times New Roman"/>
          <w:b/>
          <w:bCs/>
          <w:sz w:val="24"/>
          <w:szCs w:val="24"/>
        </w:rPr>
        <w:t>342</w:t>
      </w:r>
      <w:r w:rsidRPr="00F53D05">
        <w:rPr>
          <w:rFonts w:ascii="Times New Roman" w:hAnsi="Times New Roman" w:cs="Times New Roman"/>
          <w:sz w:val="24"/>
          <w:szCs w:val="24"/>
        </w:rPr>
        <w:t xml:space="preserve"> 850–3</w:t>
      </w:r>
    </w:p>
    <w:p w14:paraId="10F9D08A" w14:textId="77777777" w:rsidR="00384FD3" w:rsidRPr="00F53D05" w:rsidRDefault="00384FD3" w:rsidP="00384FD3">
      <w:pPr>
        <w:pStyle w:val="Bibliography"/>
        <w:rPr>
          <w:rFonts w:ascii="Times New Roman" w:hAnsi="Times New Roman" w:cs="Times New Roman"/>
          <w:sz w:val="24"/>
          <w:szCs w:val="24"/>
        </w:rPr>
      </w:pPr>
      <w:r w:rsidRPr="00F53D05">
        <w:rPr>
          <w:rFonts w:ascii="Times New Roman" w:hAnsi="Times New Roman" w:cs="Times New Roman"/>
          <w:sz w:val="24"/>
          <w:szCs w:val="24"/>
        </w:rPr>
        <w:t>Indonesian Bureau of Statistics 2011 Indonesia - Pendataan Potensi Desa 2008 Online: https://mikrodata.bps.go.id/mikrodata/index.php/catalog/80</w:t>
      </w:r>
    </w:p>
    <w:p w14:paraId="5AC1FA26" w14:textId="77777777" w:rsidR="00384FD3" w:rsidRPr="00F53D05" w:rsidRDefault="00384FD3" w:rsidP="00384FD3">
      <w:pPr>
        <w:pStyle w:val="Bibliography"/>
        <w:rPr>
          <w:rFonts w:ascii="Times New Roman" w:hAnsi="Times New Roman" w:cs="Times New Roman"/>
          <w:sz w:val="24"/>
          <w:szCs w:val="24"/>
        </w:rPr>
      </w:pPr>
      <w:r w:rsidRPr="00F53D05">
        <w:rPr>
          <w:rFonts w:ascii="Times New Roman" w:hAnsi="Times New Roman" w:cs="Times New Roman"/>
          <w:sz w:val="24"/>
          <w:szCs w:val="24"/>
        </w:rPr>
        <w:t>Indonesian Bureau of Statistics 2018 Indonesia - Pendataan Potensi Desa 2014 Online: https://mikrodata.bps.go.id/mikrodata/index.php/catalog/599</w:t>
      </w:r>
    </w:p>
    <w:p w14:paraId="5EA67099" w14:textId="77777777" w:rsidR="00384FD3" w:rsidRPr="00F53D05" w:rsidRDefault="00384FD3" w:rsidP="00384FD3">
      <w:pPr>
        <w:pStyle w:val="Bibliography"/>
        <w:rPr>
          <w:rFonts w:ascii="Times New Roman" w:hAnsi="Times New Roman" w:cs="Times New Roman"/>
          <w:sz w:val="24"/>
          <w:szCs w:val="24"/>
        </w:rPr>
      </w:pPr>
      <w:r w:rsidRPr="00F53D05">
        <w:rPr>
          <w:rFonts w:ascii="Times New Roman" w:hAnsi="Times New Roman" w:cs="Times New Roman"/>
          <w:sz w:val="24"/>
          <w:szCs w:val="24"/>
        </w:rPr>
        <w:t xml:space="preserve">Margono B A, Potapov P V, Turubanova S, Stolle F and Hansen M C 2014 Primary forest cover loss in Indonesia over 2000-2012 </w:t>
      </w:r>
      <w:r w:rsidRPr="00F53D05">
        <w:rPr>
          <w:rFonts w:ascii="Times New Roman" w:hAnsi="Times New Roman" w:cs="Times New Roman"/>
          <w:i/>
          <w:iCs/>
          <w:sz w:val="24"/>
          <w:szCs w:val="24"/>
        </w:rPr>
        <w:t>Nature Clim. Change</w:t>
      </w:r>
      <w:r w:rsidRPr="00F53D05">
        <w:rPr>
          <w:rFonts w:ascii="Times New Roman" w:hAnsi="Times New Roman" w:cs="Times New Roman"/>
          <w:sz w:val="24"/>
          <w:szCs w:val="24"/>
        </w:rPr>
        <w:t xml:space="preserve"> </w:t>
      </w:r>
      <w:r w:rsidRPr="00F53D05">
        <w:rPr>
          <w:rFonts w:ascii="Times New Roman" w:hAnsi="Times New Roman" w:cs="Times New Roman"/>
          <w:b/>
          <w:bCs/>
          <w:sz w:val="24"/>
          <w:szCs w:val="24"/>
        </w:rPr>
        <w:t>4</w:t>
      </w:r>
      <w:r w:rsidRPr="00F53D05">
        <w:rPr>
          <w:rFonts w:ascii="Times New Roman" w:hAnsi="Times New Roman" w:cs="Times New Roman"/>
          <w:sz w:val="24"/>
          <w:szCs w:val="24"/>
        </w:rPr>
        <w:t xml:space="preserve"> 730–5</w:t>
      </w:r>
    </w:p>
    <w:p w14:paraId="323A93E5" w14:textId="77777777" w:rsidR="00384FD3" w:rsidRPr="00F53D05" w:rsidRDefault="00384FD3" w:rsidP="00384FD3">
      <w:pPr>
        <w:pStyle w:val="Bibliography"/>
        <w:rPr>
          <w:rFonts w:ascii="Times New Roman" w:hAnsi="Times New Roman" w:cs="Times New Roman"/>
          <w:sz w:val="24"/>
          <w:szCs w:val="24"/>
        </w:rPr>
      </w:pPr>
      <w:r w:rsidRPr="00F53D05">
        <w:rPr>
          <w:rFonts w:ascii="Times New Roman" w:hAnsi="Times New Roman" w:cs="Times New Roman"/>
          <w:sz w:val="24"/>
          <w:szCs w:val="24"/>
        </w:rPr>
        <w:t>Ministry of Environment and Forestry 2015 Indonesian land cover map 1990-2013 Online: http://webgis.menlhk.go.id:8080/pl/pl.htm</w:t>
      </w:r>
    </w:p>
    <w:p w14:paraId="0C488AC4" w14:textId="77777777" w:rsidR="00384FD3" w:rsidRPr="00F53D05" w:rsidRDefault="00384FD3" w:rsidP="00384FD3">
      <w:pPr>
        <w:pStyle w:val="Bibliography"/>
        <w:rPr>
          <w:rFonts w:ascii="Times New Roman" w:hAnsi="Times New Roman" w:cs="Times New Roman"/>
          <w:sz w:val="24"/>
          <w:szCs w:val="24"/>
        </w:rPr>
      </w:pPr>
      <w:r w:rsidRPr="00F53D05">
        <w:rPr>
          <w:rFonts w:ascii="Times New Roman" w:hAnsi="Times New Roman" w:cs="Times New Roman"/>
          <w:sz w:val="24"/>
          <w:szCs w:val="24"/>
        </w:rPr>
        <w:t xml:space="preserve">Ministry of Environment and Forestry Republic of Indonesia 2018 </w:t>
      </w:r>
      <w:r w:rsidRPr="00F53D05">
        <w:rPr>
          <w:rFonts w:ascii="Times New Roman" w:hAnsi="Times New Roman" w:cs="Times New Roman"/>
          <w:i/>
          <w:iCs/>
          <w:sz w:val="24"/>
          <w:szCs w:val="24"/>
        </w:rPr>
        <w:t>The State of Indonesia’s Forests 2018</w:t>
      </w:r>
      <w:r w:rsidRPr="00F53D05">
        <w:rPr>
          <w:rFonts w:ascii="Times New Roman" w:hAnsi="Times New Roman" w:cs="Times New Roman"/>
          <w:sz w:val="24"/>
          <w:szCs w:val="24"/>
        </w:rPr>
        <w:t xml:space="preserve"> (Ministry of Environment and Forestry Republic of Indonesia)</w:t>
      </w:r>
    </w:p>
    <w:p w14:paraId="56003B1F" w14:textId="77777777" w:rsidR="00384FD3" w:rsidRPr="00F53D05" w:rsidRDefault="00384FD3" w:rsidP="00384FD3">
      <w:pPr>
        <w:pStyle w:val="Bibliography"/>
        <w:rPr>
          <w:rFonts w:ascii="Times New Roman" w:hAnsi="Times New Roman" w:cs="Times New Roman"/>
          <w:sz w:val="24"/>
          <w:szCs w:val="24"/>
        </w:rPr>
      </w:pPr>
      <w:r w:rsidRPr="00F53D05">
        <w:rPr>
          <w:rFonts w:ascii="Times New Roman" w:hAnsi="Times New Roman" w:cs="Times New Roman"/>
          <w:sz w:val="24"/>
          <w:szCs w:val="24"/>
        </w:rPr>
        <w:lastRenderedPageBreak/>
        <w:t>Ministry of Forestry G D of P 2010 Landuse maps (provincial planning maps/Forest Land Use by Consensus maps (TGHK) Online: https://gis-gfw.wri.org/arcgis/rest/services/commodities/MapServer/13</w:t>
      </w:r>
    </w:p>
    <w:p w14:paraId="61E8FDC2" w14:textId="77777777" w:rsidR="00384FD3" w:rsidRPr="00F53D05" w:rsidRDefault="00384FD3" w:rsidP="00384FD3">
      <w:pPr>
        <w:pStyle w:val="Bibliography"/>
        <w:rPr>
          <w:rFonts w:ascii="Times New Roman" w:hAnsi="Times New Roman" w:cs="Times New Roman"/>
          <w:sz w:val="24"/>
          <w:szCs w:val="24"/>
        </w:rPr>
      </w:pPr>
      <w:r w:rsidRPr="00F53D05">
        <w:rPr>
          <w:rFonts w:ascii="Times New Roman" w:hAnsi="Times New Roman" w:cs="Times New Roman"/>
          <w:sz w:val="24"/>
          <w:szCs w:val="24"/>
        </w:rPr>
        <w:t>MODIS Collection 6 NRT 2018 MODIS Collection 6 NRT Hotspot / Active Fire Detections MCD14DL Online: https://earthdata.nasa.gov/firms</w:t>
      </w:r>
    </w:p>
    <w:p w14:paraId="425BF217" w14:textId="77777777" w:rsidR="00384FD3" w:rsidRPr="00F53D05" w:rsidRDefault="00384FD3" w:rsidP="00384FD3">
      <w:pPr>
        <w:pStyle w:val="Bibliography"/>
        <w:rPr>
          <w:rFonts w:ascii="Times New Roman" w:hAnsi="Times New Roman" w:cs="Times New Roman"/>
          <w:sz w:val="24"/>
          <w:szCs w:val="24"/>
        </w:rPr>
      </w:pPr>
      <w:r w:rsidRPr="00F53D05">
        <w:rPr>
          <w:rFonts w:ascii="Times New Roman" w:hAnsi="Times New Roman" w:cs="Times New Roman"/>
          <w:sz w:val="24"/>
          <w:szCs w:val="24"/>
        </w:rPr>
        <w:t xml:space="preserve">Python Software Foundation 2019 </w:t>
      </w:r>
      <w:r w:rsidRPr="00F53D05">
        <w:rPr>
          <w:rFonts w:ascii="Times New Roman" w:hAnsi="Times New Roman" w:cs="Times New Roman"/>
          <w:i/>
          <w:iCs/>
          <w:sz w:val="24"/>
          <w:szCs w:val="24"/>
        </w:rPr>
        <w:t>Python Language Reference version 3.7</w:t>
      </w:r>
      <w:r w:rsidRPr="00F53D05">
        <w:rPr>
          <w:rFonts w:ascii="Times New Roman" w:hAnsi="Times New Roman" w:cs="Times New Roman"/>
          <w:sz w:val="24"/>
          <w:szCs w:val="24"/>
        </w:rPr>
        <w:t xml:space="preserve"> Online: http://www.python.org​</w:t>
      </w:r>
    </w:p>
    <w:p w14:paraId="5C63246F" w14:textId="77777777" w:rsidR="00384FD3" w:rsidRPr="00F53D05" w:rsidRDefault="00384FD3" w:rsidP="00384FD3">
      <w:pPr>
        <w:pStyle w:val="Bibliography"/>
        <w:rPr>
          <w:rFonts w:ascii="Times New Roman" w:hAnsi="Times New Roman" w:cs="Times New Roman"/>
          <w:sz w:val="24"/>
          <w:szCs w:val="24"/>
        </w:rPr>
      </w:pPr>
      <w:r w:rsidRPr="00F53D05">
        <w:rPr>
          <w:rFonts w:ascii="Times New Roman" w:hAnsi="Times New Roman" w:cs="Times New Roman"/>
          <w:sz w:val="24"/>
          <w:szCs w:val="24"/>
        </w:rPr>
        <w:t xml:space="preserve">R Core Team 2020 </w:t>
      </w:r>
      <w:r w:rsidRPr="00F53D05">
        <w:rPr>
          <w:rFonts w:ascii="Times New Roman" w:hAnsi="Times New Roman" w:cs="Times New Roman"/>
          <w:i/>
          <w:iCs/>
          <w:sz w:val="24"/>
          <w:szCs w:val="24"/>
        </w:rPr>
        <w:t>R: A language and environment for statistical computing.</w:t>
      </w:r>
      <w:r w:rsidRPr="00F53D05">
        <w:rPr>
          <w:rFonts w:ascii="Times New Roman" w:hAnsi="Times New Roman" w:cs="Times New Roman"/>
          <w:sz w:val="24"/>
          <w:szCs w:val="24"/>
        </w:rPr>
        <w:t xml:space="preserve"> (Vienna, Austria: R Foundation for Statistical Computing) Online: https://www.R-project.org/</w:t>
      </w:r>
    </w:p>
    <w:p w14:paraId="6279AC7C" w14:textId="77777777" w:rsidR="00384FD3" w:rsidRPr="00F53D05" w:rsidRDefault="00384FD3" w:rsidP="00384FD3">
      <w:pPr>
        <w:pStyle w:val="Bibliography"/>
        <w:rPr>
          <w:rFonts w:ascii="Times New Roman" w:hAnsi="Times New Roman" w:cs="Times New Roman"/>
          <w:sz w:val="24"/>
          <w:szCs w:val="24"/>
        </w:rPr>
      </w:pPr>
      <w:r w:rsidRPr="00F53D05">
        <w:rPr>
          <w:rFonts w:ascii="Times New Roman" w:hAnsi="Times New Roman" w:cs="Times New Roman"/>
          <w:sz w:val="24"/>
          <w:szCs w:val="24"/>
        </w:rPr>
        <w:t>Rose A N, McKee J J, Urban M L and Bright E A 2018 LandScan 2017</w:t>
      </w:r>
    </w:p>
    <w:p w14:paraId="70DAFC0B" w14:textId="77777777" w:rsidR="00384FD3" w:rsidRPr="00F53D05" w:rsidRDefault="00384FD3" w:rsidP="00384FD3">
      <w:pPr>
        <w:pStyle w:val="Bibliography"/>
        <w:rPr>
          <w:rFonts w:ascii="Times New Roman" w:hAnsi="Times New Roman" w:cs="Times New Roman"/>
          <w:sz w:val="24"/>
          <w:szCs w:val="24"/>
        </w:rPr>
      </w:pPr>
      <w:r w:rsidRPr="00F53D05">
        <w:rPr>
          <w:rFonts w:ascii="Times New Roman" w:hAnsi="Times New Roman" w:cs="Times New Roman"/>
          <w:sz w:val="24"/>
          <w:szCs w:val="24"/>
        </w:rPr>
        <w:t>VIIRS 375m NRT 2018 NRT VIIRS 375 m Active Fire product VNP14IMGT Online: https://earthdata.nasa.gov/firms</w:t>
      </w:r>
    </w:p>
    <w:p w14:paraId="1C041A86" w14:textId="77777777" w:rsidR="00384FD3" w:rsidRPr="00F53D05" w:rsidRDefault="00384FD3" w:rsidP="00384FD3">
      <w:pPr>
        <w:pStyle w:val="Bibliography"/>
        <w:rPr>
          <w:rFonts w:ascii="Times New Roman" w:hAnsi="Times New Roman" w:cs="Times New Roman"/>
          <w:sz w:val="24"/>
          <w:szCs w:val="24"/>
        </w:rPr>
      </w:pPr>
      <w:r w:rsidRPr="00F53D05">
        <w:rPr>
          <w:rFonts w:ascii="Times New Roman" w:hAnsi="Times New Roman" w:cs="Times New Roman"/>
          <w:sz w:val="24"/>
          <w:szCs w:val="24"/>
        </w:rPr>
        <w:t xml:space="preserve">Weiss D J, Nelson A, Gibson H S, Temperley W, Peedell S, Lieber A, Hancher M, Poyart E, Belchior S, Fullman N, Mappin B, Dalrymple U, Rozier J, Lucas T C D, Howes R E, Tusting L S, Kang S Y, Cameron E, Bisanzio D, Battle K E, Bhatt S and Gething P W 2018 A global map of travel time to cities to assess inequalities in accessibility in 2015 </w:t>
      </w:r>
      <w:r w:rsidRPr="00F53D05">
        <w:rPr>
          <w:rFonts w:ascii="Times New Roman" w:hAnsi="Times New Roman" w:cs="Times New Roman"/>
          <w:i/>
          <w:iCs/>
          <w:sz w:val="24"/>
          <w:szCs w:val="24"/>
        </w:rPr>
        <w:t>Nature</w:t>
      </w:r>
      <w:r w:rsidRPr="00F53D05">
        <w:rPr>
          <w:rFonts w:ascii="Times New Roman" w:hAnsi="Times New Roman" w:cs="Times New Roman"/>
          <w:sz w:val="24"/>
          <w:szCs w:val="24"/>
        </w:rPr>
        <w:t xml:space="preserve"> </w:t>
      </w:r>
      <w:r w:rsidRPr="00F53D05">
        <w:rPr>
          <w:rFonts w:ascii="Times New Roman" w:hAnsi="Times New Roman" w:cs="Times New Roman"/>
          <w:b/>
          <w:bCs/>
          <w:sz w:val="24"/>
          <w:szCs w:val="24"/>
        </w:rPr>
        <w:t>553</w:t>
      </w:r>
      <w:r w:rsidRPr="00F53D05">
        <w:rPr>
          <w:rFonts w:ascii="Times New Roman" w:hAnsi="Times New Roman" w:cs="Times New Roman"/>
          <w:sz w:val="24"/>
          <w:szCs w:val="24"/>
        </w:rPr>
        <w:t xml:space="preserve"> 333–6</w:t>
      </w:r>
    </w:p>
    <w:p w14:paraId="647A4924" w14:textId="77777777" w:rsidR="00384FD3" w:rsidRPr="00F53D05" w:rsidRDefault="00384FD3" w:rsidP="009909E8">
      <w:pPr>
        <w:rPr>
          <w:rFonts w:ascii="Times New Roman" w:hAnsi="Times New Roman" w:cs="Times New Roman"/>
          <w:b/>
          <w:sz w:val="24"/>
          <w:szCs w:val="24"/>
        </w:rPr>
      </w:pPr>
      <w:r w:rsidRPr="00F53D05">
        <w:rPr>
          <w:rFonts w:ascii="Times New Roman" w:hAnsi="Times New Roman" w:cs="Times New Roman"/>
          <w:sz w:val="24"/>
          <w:szCs w:val="24"/>
        </w:rPr>
        <w:fldChar w:fldCharType="end"/>
      </w:r>
    </w:p>
    <w:p w14:paraId="4254C857" w14:textId="77777777" w:rsidR="009909E8" w:rsidRPr="00F53D05" w:rsidRDefault="009909E8" w:rsidP="009909E8">
      <w:pPr>
        <w:rPr>
          <w:rFonts w:ascii="Times New Roman" w:hAnsi="Times New Roman" w:cs="Times New Roman"/>
          <w:b/>
          <w:sz w:val="24"/>
          <w:szCs w:val="24"/>
        </w:rPr>
      </w:pPr>
      <w:r w:rsidRPr="00F53D05">
        <w:rPr>
          <w:rFonts w:ascii="Times New Roman" w:hAnsi="Times New Roman" w:cs="Times New Roman"/>
          <w:b/>
          <w:sz w:val="24"/>
          <w:szCs w:val="24"/>
        </w:rPr>
        <w:t xml:space="preserve">DATA-SPECIFIC INFORMATION </w:t>
      </w:r>
    </w:p>
    <w:p w14:paraId="4996786A"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All files have the s</w:t>
      </w:r>
      <w:r w:rsidR="00384FD3" w:rsidRPr="00F53D05">
        <w:rPr>
          <w:rFonts w:ascii="Times New Roman" w:hAnsi="Times New Roman" w:cs="Times New Roman"/>
          <w:sz w:val="24"/>
          <w:szCs w:val="24"/>
        </w:rPr>
        <w:t>ame geographic characteristics:</w:t>
      </w:r>
    </w:p>
    <w:p w14:paraId="2C9646F0"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Driver: GTiff/GeoTIFF</w:t>
      </w:r>
    </w:p>
    <w:p w14:paraId="1C2C2328"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Size is 10102, 10593</w:t>
      </w:r>
    </w:p>
    <w:p w14:paraId="644D7152"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Coordinate System is:</w:t>
      </w:r>
    </w:p>
    <w:p w14:paraId="0A01550C"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PROJCRS["Albers",</w:t>
      </w:r>
    </w:p>
    <w:p w14:paraId="7028634E"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BASEGEOGCRS["WGS 84",</w:t>
      </w:r>
    </w:p>
    <w:p w14:paraId="58769F25"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DATUM["World Geodetic System 1984",</w:t>
      </w:r>
    </w:p>
    <w:p w14:paraId="59C4395D"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ELLIPSOID["WGS 84",6378137,298.257223563,</w:t>
      </w:r>
    </w:p>
    <w:p w14:paraId="57D98657"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LENGTHUNIT["metre",1]]],</w:t>
      </w:r>
    </w:p>
    <w:p w14:paraId="4F03A47A"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PRIMEM["Greenwich",0,</w:t>
      </w:r>
    </w:p>
    <w:p w14:paraId="59C9B33C"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ANGLEUNIT["degree",0.0174532925199433]],</w:t>
      </w:r>
    </w:p>
    <w:p w14:paraId="29EDF99D"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ID["EPSG",4326]],</w:t>
      </w:r>
    </w:p>
    <w:p w14:paraId="298DB655"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CONVERSION["Albers Equal Area",</w:t>
      </w:r>
    </w:p>
    <w:p w14:paraId="3C989A7E"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METHOD["Albers Equal Area",</w:t>
      </w:r>
    </w:p>
    <w:p w14:paraId="456BB5C8"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lastRenderedPageBreak/>
        <w:t xml:space="preserve">            ID["EPSG",9822]],</w:t>
      </w:r>
    </w:p>
    <w:p w14:paraId="5029839C"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PARAMETER["Latitude of false origin",-15,</w:t>
      </w:r>
    </w:p>
    <w:p w14:paraId="63AADC39"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ANGLEUNIT["degree",0.0174532925199433],</w:t>
      </w:r>
    </w:p>
    <w:p w14:paraId="2CCF6DC5"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ID["EPSG",8821]],</w:t>
      </w:r>
    </w:p>
    <w:p w14:paraId="2CB2EA18"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PARAMETER["Longitude of false origin",125,</w:t>
      </w:r>
    </w:p>
    <w:p w14:paraId="66CB7827"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ANGLEUNIT["degree",0.0174532925199433],</w:t>
      </w:r>
    </w:p>
    <w:p w14:paraId="26CD5D6A"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ID["EPSG",8822]],</w:t>
      </w:r>
    </w:p>
    <w:p w14:paraId="2F857EE8"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PARAMETER["Latitude of 1st standard parallel",7,</w:t>
      </w:r>
    </w:p>
    <w:p w14:paraId="2F624421"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ANGLEUNIT["degree",0.0174532925199433],</w:t>
      </w:r>
    </w:p>
    <w:p w14:paraId="67DC6227"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ID["EPSG",8823]],</w:t>
      </w:r>
    </w:p>
    <w:p w14:paraId="0CAE6CE7"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PARAMETER["Latitude of 2nd standard parallel",-32,</w:t>
      </w:r>
    </w:p>
    <w:p w14:paraId="1A94A1A1"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ANGLEUNIT["degree",0.0174532925199433],</w:t>
      </w:r>
    </w:p>
    <w:p w14:paraId="53094A72"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ID["EPSG",8824]],</w:t>
      </w:r>
    </w:p>
    <w:p w14:paraId="2679D0A8"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PARAMETER["Easting at false origin",0,</w:t>
      </w:r>
    </w:p>
    <w:p w14:paraId="2A467D52"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LENGTHUNIT["metre",1],</w:t>
      </w:r>
    </w:p>
    <w:p w14:paraId="6D4286C8"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ID["EPSG",8826]],</w:t>
      </w:r>
    </w:p>
    <w:p w14:paraId="2C399840"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PARAMETER["Northing at false origin",0,</w:t>
      </w:r>
    </w:p>
    <w:p w14:paraId="389290D0"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LENGTHUNIT["metre",1],</w:t>
      </w:r>
    </w:p>
    <w:p w14:paraId="69CA52ED"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ID["EPSG",8827]]],</w:t>
      </w:r>
    </w:p>
    <w:p w14:paraId="11DC465C"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CS[Cartesian,2],</w:t>
      </w:r>
    </w:p>
    <w:p w14:paraId="4A83FF5A"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AXIS["easting",east,</w:t>
      </w:r>
    </w:p>
    <w:p w14:paraId="44E807EC"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ORDER[1],</w:t>
      </w:r>
    </w:p>
    <w:p w14:paraId="1484B59D"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LENGTHUNIT["metre",1,</w:t>
      </w:r>
    </w:p>
    <w:p w14:paraId="42380973"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ID["EPSG",9001]]],</w:t>
      </w:r>
    </w:p>
    <w:p w14:paraId="7ACF4A34"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AXIS["northing",north,</w:t>
      </w:r>
    </w:p>
    <w:p w14:paraId="7D5EAD64"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ORDER[2],</w:t>
      </w:r>
    </w:p>
    <w:p w14:paraId="342EC2F3"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LENGTHUNIT["metre",1,</w:t>
      </w:r>
    </w:p>
    <w:p w14:paraId="00F9B43B"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ID["EPSG",9001]]]]</w:t>
      </w:r>
    </w:p>
    <w:p w14:paraId="0683E7A5"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Data axis to CRS axis mapping: 1,2</w:t>
      </w:r>
    </w:p>
    <w:p w14:paraId="0D5A5EDE"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Origin = (-955125.384435000014491,2374195.376991000026464)</w:t>
      </w:r>
    </w:p>
    <w:p w14:paraId="5EF612EB"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lastRenderedPageBreak/>
        <w:t>Pixel Size = (180.000000000000000,-180.000000000000000)</w:t>
      </w:r>
    </w:p>
    <w:p w14:paraId="214098A5"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Metadata:</w:t>
      </w:r>
    </w:p>
    <w:p w14:paraId="462CC4BD"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AREA_OR_POINT=Area</w:t>
      </w:r>
    </w:p>
    <w:p w14:paraId="3E84557C"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Image Structure Metadata:</w:t>
      </w:r>
    </w:p>
    <w:p w14:paraId="75D0532E"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COMPRESSION=DEFLATE</w:t>
      </w:r>
    </w:p>
    <w:p w14:paraId="54140372"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INTERLEAVE=BAND</w:t>
      </w:r>
    </w:p>
    <w:p w14:paraId="1ED51072"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Corner Coordinates:</w:t>
      </w:r>
    </w:p>
    <w:p w14:paraId="6EE4ABB2" w14:textId="77777777" w:rsidR="009909E8" w:rsidRPr="001A1C69" w:rsidRDefault="009909E8" w:rsidP="009909E8">
      <w:pPr>
        <w:rPr>
          <w:rFonts w:ascii="Times New Roman" w:hAnsi="Times New Roman" w:cs="Times New Roman"/>
          <w:sz w:val="24"/>
          <w:szCs w:val="24"/>
        </w:rPr>
      </w:pPr>
      <w:r w:rsidRPr="001A1C69">
        <w:rPr>
          <w:rFonts w:ascii="Times New Roman" w:hAnsi="Times New Roman" w:cs="Times New Roman"/>
          <w:sz w:val="24"/>
          <w:szCs w:val="24"/>
        </w:rPr>
        <w:t>Upper Left  ( -955125.384, 2374195.377) (116d18'50.28"E,  5d41'38.81"N)</w:t>
      </w:r>
    </w:p>
    <w:p w14:paraId="559BB40A"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Lower Left  ( -955125.384,  467455.377) (115d44'31.08"E, 10d52'49.01"S)</w:t>
      </w:r>
    </w:p>
    <w:p w14:paraId="5156BE85" w14:textId="77777777" w:rsidR="009909E8" w:rsidRPr="00F53D05" w:rsidRDefault="009909E8" w:rsidP="009909E8">
      <w:pPr>
        <w:rPr>
          <w:rFonts w:ascii="Times New Roman" w:hAnsi="Times New Roman" w:cs="Times New Roman"/>
          <w:sz w:val="24"/>
          <w:szCs w:val="24"/>
          <w:lang w:val="de-DE"/>
        </w:rPr>
      </w:pPr>
      <w:r w:rsidRPr="00F53D05">
        <w:rPr>
          <w:rFonts w:ascii="Times New Roman" w:hAnsi="Times New Roman" w:cs="Times New Roman"/>
          <w:sz w:val="24"/>
          <w:szCs w:val="24"/>
          <w:lang w:val="de-DE"/>
        </w:rPr>
        <w:t>Upper Right (  863234.616, 2374195.377) (132d51' 2.98"E,  5d40'11.30"N)</w:t>
      </w:r>
    </w:p>
    <w:p w14:paraId="07D7DAD2"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Lower Right (  863234.616,  467455.377) (133d22' 4.42"E, 10d54'17.65"S)</w:t>
      </w:r>
    </w:p>
    <w:p w14:paraId="7EF27058"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Center      (  -45945.384, 1420825.377) (124d34' 7.32"E,  2d49'49.28"S)</w:t>
      </w:r>
    </w:p>
    <w:p w14:paraId="35CCD9CE"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Band 1 Block=10102x1 Type=Int32, ColorInterp=Gray</w:t>
      </w:r>
    </w:p>
    <w:p w14:paraId="0ECC74CD" w14:textId="77777777" w:rsidR="009909E8" w:rsidRPr="00F53D05" w:rsidRDefault="009909E8" w:rsidP="009909E8">
      <w:pPr>
        <w:rPr>
          <w:rFonts w:ascii="Times New Roman" w:hAnsi="Times New Roman" w:cs="Times New Roman"/>
          <w:sz w:val="24"/>
          <w:szCs w:val="24"/>
        </w:rPr>
      </w:pPr>
      <w:r w:rsidRPr="00F53D05">
        <w:rPr>
          <w:rFonts w:ascii="Times New Roman" w:hAnsi="Times New Roman" w:cs="Times New Roman"/>
          <w:sz w:val="24"/>
          <w:szCs w:val="24"/>
        </w:rPr>
        <w:t xml:space="preserve">  NoData Value=-9999</w:t>
      </w:r>
    </w:p>
    <w:p w14:paraId="54A9A274" w14:textId="77777777" w:rsidR="009909E8" w:rsidRPr="00F53D05" w:rsidRDefault="009909E8" w:rsidP="009909E8">
      <w:pPr>
        <w:rPr>
          <w:rFonts w:ascii="Times New Roman" w:hAnsi="Times New Roman" w:cs="Times New Roman"/>
          <w:sz w:val="24"/>
          <w:szCs w:val="24"/>
        </w:rPr>
      </w:pPr>
    </w:p>
    <w:p w14:paraId="0ACA2F02" w14:textId="77777777" w:rsidR="009909E8" w:rsidRPr="00F53D05" w:rsidRDefault="009909E8" w:rsidP="009909E8">
      <w:pPr>
        <w:rPr>
          <w:rFonts w:ascii="Times New Roman" w:hAnsi="Times New Roman" w:cs="Times New Roman"/>
          <w:sz w:val="24"/>
          <w:szCs w:val="24"/>
        </w:rPr>
      </w:pPr>
    </w:p>
    <w:p w14:paraId="0A627E7C" w14:textId="77777777" w:rsidR="00B63CA5" w:rsidRDefault="00B63CA5" w:rsidP="00B63CA5">
      <w:pPr>
        <w:rPr>
          <w:rFonts w:ascii="Times New Roman" w:hAnsi="Times New Roman" w:cs="Times New Roman"/>
          <w:sz w:val="24"/>
          <w:szCs w:val="24"/>
        </w:rPr>
      </w:pPr>
    </w:p>
    <w:p w14:paraId="79FC22AF" w14:textId="77777777" w:rsidR="00B63CA5" w:rsidRDefault="00B63CA5" w:rsidP="00B63CA5">
      <w:pPr>
        <w:rPr>
          <w:rFonts w:ascii="Times New Roman" w:hAnsi="Times New Roman" w:cs="Times New Roman"/>
          <w:sz w:val="24"/>
          <w:szCs w:val="24"/>
        </w:rPr>
      </w:pPr>
    </w:p>
    <w:p w14:paraId="1666BA3B" w14:textId="77777777" w:rsidR="00B63CA5" w:rsidRDefault="00B63CA5" w:rsidP="00B63CA5">
      <w:pPr>
        <w:rPr>
          <w:rFonts w:ascii="Times New Roman" w:hAnsi="Times New Roman" w:cs="Times New Roman"/>
          <w:sz w:val="24"/>
          <w:szCs w:val="24"/>
        </w:rPr>
      </w:pPr>
    </w:p>
    <w:p w14:paraId="59A6BABC" w14:textId="77777777" w:rsidR="00B63CA5" w:rsidRDefault="00B63CA5" w:rsidP="00B63CA5">
      <w:pPr>
        <w:rPr>
          <w:rFonts w:ascii="Times New Roman" w:hAnsi="Times New Roman" w:cs="Times New Roman"/>
          <w:sz w:val="24"/>
          <w:szCs w:val="24"/>
        </w:rPr>
      </w:pPr>
    </w:p>
    <w:p w14:paraId="552D9950" w14:textId="77777777" w:rsidR="00B63CA5" w:rsidRDefault="00B63CA5" w:rsidP="00B63CA5">
      <w:pPr>
        <w:rPr>
          <w:rFonts w:ascii="Times New Roman" w:hAnsi="Times New Roman" w:cs="Times New Roman"/>
          <w:sz w:val="24"/>
          <w:szCs w:val="24"/>
        </w:rPr>
      </w:pPr>
    </w:p>
    <w:p w14:paraId="541A55D5" w14:textId="77777777" w:rsidR="00B63CA5" w:rsidRDefault="00B63CA5" w:rsidP="00B63CA5">
      <w:pPr>
        <w:rPr>
          <w:rFonts w:ascii="Times New Roman" w:hAnsi="Times New Roman" w:cs="Times New Roman"/>
          <w:sz w:val="24"/>
          <w:szCs w:val="24"/>
        </w:rPr>
      </w:pPr>
    </w:p>
    <w:p w14:paraId="040A43C3" w14:textId="77777777" w:rsidR="00B63CA5" w:rsidRDefault="00B63CA5" w:rsidP="00B63CA5">
      <w:pPr>
        <w:rPr>
          <w:rFonts w:ascii="Times New Roman" w:hAnsi="Times New Roman" w:cs="Times New Roman"/>
          <w:sz w:val="24"/>
          <w:szCs w:val="24"/>
        </w:rPr>
      </w:pPr>
    </w:p>
    <w:p w14:paraId="6D93DB19" w14:textId="77777777" w:rsidR="00B63CA5" w:rsidRDefault="00B63CA5" w:rsidP="00B63CA5">
      <w:pPr>
        <w:rPr>
          <w:rFonts w:ascii="Times New Roman" w:hAnsi="Times New Roman" w:cs="Times New Roman"/>
          <w:sz w:val="24"/>
          <w:szCs w:val="24"/>
        </w:rPr>
      </w:pPr>
    </w:p>
    <w:p w14:paraId="00227CBE" w14:textId="77777777" w:rsidR="00B63CA5" w:rsidRDefault="00B63CA5" w:rsidP="00B63CA5">
      <w:pPr>
        <w:rPr>
          <w:rFonts w:ascii="Times New Roman" w:hAnsi="Times New Roman" w:cs="Times New Roman"/>
          <w:sz w:val="24"/>
          <w:szCs w:val="24"/>
        </w:rPr>
      </w:pPr>
    </w:p>
    <w:p w14:paraId="2725DBBD" w14:textId="77777777" w:rsidR="00B63CA5" w:rsidRDefault="00B63CA5" w:rsidP="00B63CA5">
      <w:pPr>
        <w:rPr>
          <w:rFonts w:ascii="Times New Roman" w:hAnsi="Times New Roman" w:cs="Times New Roman"/>
          <w:sz w:val="24"/>
          <w:szCs w:val="24"/>
        </w:rPr>
      </w:pPr>
    </w:p>
    <w:p w14:paraId="29781583" w14:textId="77777777" w:rsidR="00B63CA5" w:rsidRDefault="00B63CA5" w:rsidP="00B63CA5">
      <w:pPr>
        <w:rPr>
          <w:rFonts w:ascii="Times New Roman" w:hAnsi="Times New Roman" w:cs="Times New Roman"/>
          <w:sz w:val="24"/>
          <w:szCs w:val="24"/>
        </w:rPr>
      </w:pPr>
    </w:p>
    <w:p w14:paraId="25AB6B0A" w14:textId="77777777" w:rsidR="00B63CA5" w:rsidRDefault="00B63CA5" w:rsidP="00B63CA5">
      <w:pPr>
        <w:rPr>
          <w:rFonts w:ascii="Times New Roman" w:hAnsi="Times New Roman" w:cs="Times New Roman"/>
          <w:sz w:val="24"/>
          <w:szCs w:val="24"/>
        </w:rPr>
      </w:pPr>
    </w:p>
    <w:p w14:paraId="0C705B7E" w14:textId="77777777" w:rsidR="00B63CA5" w:rsidRDefault="00B63CA5" w:rsidP="00B63CA5">
      <w:pPr>
        <w:rPr>
          <w:rFonts w:ascii="Times New Roman" w:hAnsi="Times New Roman" w:cs="Times New Roman"/>
          <w:sz w:val="24"/>
          <w:szCs w:val="24"/>
        </w:rPr>
      </w:pPr>
    </w:p>
    <w:p w14:paraId="097A24AA" w14:textId="456F7641" w:rsidR="00B82E21" w:rsidRPr="00F53D05" w:rsidRDefault="00B63CA5">
      <w:pPr>
        <w:rPr>
          <w:rFonts w:ascii="Times New Roman" w:hAnsi="Times New Roman" w:cs="Times New Roman"/>
          <w:sz w:val="24"/>
          <w:szCs w:val="24"/>
        </w:rPr>
      </w:pPr>
      <w:r w:rsidRPr="00F53D05">
        <w:rPr>
          <w:rFonts w:ascii="Times New Roman" w:hAnsi="Times New Roman" w:cs="Times New Roman"/>
          <w:sz w:val="24"/>
          <w:szCs w:val="24"/>
        </w:rPr>
        <w:t xml:space="preserve">This Voigt_et_al_21_data_readme file was generated on 28.07.21 by Maria Voigt </w:t>
      </w:r>
    </w:p>
    <w:sectPr w:rsidR="00B82E21" w:rsidRPr="00F53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Cambria Math">
    <w:panose1 w:val="02040503050406030204"/>
    <w:charset w:val="00"/>
    <w:family w:val="roman"/>
    <w:pitch w:val="variable"/>
    <w:sig w:usb0="E00006FF" w:usb1="420024FF" w:usb2="02000000" w:usb3="00000000" w:csb0="0000019F" w:csb1="00000000"/>
  </w:font>
  <w:font w:name="Noto Sans CJK SC 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9157D"/>
    <w:multiLevelType w:val="hybridMultilevel"/>
    <w:tmpl w:val="76786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E8"/>
    <w:rsid w:val="001A1C69"/>
    <w:rsid w:val="00384FD3"/>
    <w:rsid w:val="004F2002"/>
    <w:rsid w:val="008B5B37"/>
    <w:rsid w:val="009909E8"/>
    <w:rsid w:val="00B63CA5"/>
    <w:rsid w:val="00F53D05"/>
    <w:rsid w:val="00FE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ED72"/>
  <w15:chartTrackingRefBased/>
  <w15:docId w15:val="{C1E4DB1C-9499-43F2-9665-9C6E3DDE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84FD3"/>
    <w:pPr>
      <w:keepNext/>
      <w:keepLines/>
      <w:spacing w:before="360" w:line="480" w:lineRule="auto"/>
      <w:outlineLvl w:val="1"/>
    </w:pPr>
    <w:rPr>
      <w:rFonts w:ascii="Times New Roman" w:eastAsiaTheme="majorEastAsia" w:hAnsi="Times New Roman" w:cstheme="majorBidi"/>
      <w:b/>
      <w:bCs/>
      <w:color w:val="000000" w:themeColor="text1"/>
      <w:sz w:val="24"/>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9909E8"/>
    <w:rPr>
      <w:rFonts w:eastAsiaTheme="minorEastAsia"/>
      <w:lang w:eastAsia="zh-CN" w:bidi="hi-I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customStyle="1" w:styleId="Objectheading">
    <w:name w:val="Object_heading"/>
    <w:basedOn w:val="Normal"/>
    <w:link w:val="ObjectheadingChar"/>
    <w:qFormat/>
    <w:rsid w:val="009909E8"/>
    <w:pPr>
      <w:suppressLineNumbers/>
      <w:spacing w:before="173" w:line="360" w:lineRule="auto"/>
    </w:pPr>
    <w:rPr>
      <w:rFonts w:ascii="Times New Roman" w:eastAsiaTheme="minorEastAsia" w:hAnsi="Times New Roman" w:cs="Times New Roman"/>
      <w:sz w:val="24"/>
      <w:szCs w:val="24"/>
      <w:lang w:eastAsia="zh-CN" w:bidi="hi-IN"/>
    </w:rPr>
  </w:style>
  <w:style w:type="character" w:customStyle="1" w:styleId="ObjectheadingChar">
    <w:name w:val="Object_heading Char"/>
    <w:basedOn w:val="DefaultParagraphFont"/>
    <w:link w:val="Objectheading"/>
    <w:rsid w:val="009909E8"/>
    <w:rPr>
      <w:rFonts w:ascii="Times New Roman" w:eastAsiaTheme="minorEastAsia" w:hAnsi="Times New Roman" w:cs="Times New Roman"/>
      <w:sz w:val="24"/>
      <w:szCs w:val="24"/>
      <w:lang w:eastAsia="zh-CN" w:bidi="hi-IN"/>
    </w:rPr>
  </w:style>
  <w:style w:type="paragraph" w:customStyle="1" w:styleId="Tabletext">
    <w:name w:val="Table_text"/>
    <w:basedOn w:val="Normal"/>
    <w:link w:val="TabletextChar"/>
    <w:qFormat/>
    <w:rsid w:val="009909E8"/>
    <w:pPr>
      <w:framePr w:hSpace="180" w:wrap="around" w:vAnchor="text" w:hAnchor="margin" w:x="142" w:y="590"/>
      <w:spacing w:before="80" w:after="80" w:line="240" w:lineRule="auto"/>
      <w:jc w:val="center"/>
    </w:pPr>
    <w:rPr>
      <w:rFonts w:ascii="Times New Roman" w:eastAsiaTheme="minorEastAsia" w:hAnsi="Times New Roman"/>
      <w:lang w:eastAsia="zh-CN" w:bidi="hi-IN"/>
    </w:rPr>
  </w:style>
  <w:style w:type="character" w:customStyle="1" w:styleId="TabletextChar">
    <w:name w:val="Table_text Char"/>
    <w:basedOn w:val="DefaultParagraphFont"/>
    <w:link w:val="Tabletext"/>
    <w:rsid w:val="009909E8"/>
    <w:rPr>
      <w:rFonts w:ascii="Times New Roman" w:eastAsiaTheme="minorEastAsia" w:hAnsi="Times New Roman"/>
      <w:lang w:eastAsia="zh-CN" w:bidi="hi-IN"/>
    </w:rPr>
  </w:style>
  <w:style w:type="paragraph" w:styleId="Bibliography">
    <w:name w:val="Bibliography"/>
    <w:basedOn w:val="Normal"/>
    <w:next w:val="Normal"/>
    <w:uiPriority w:val="37"/>
    <w:unhideWhenUsed/>
    <w:rsid w:val="00384FD3"/>
    <w:pPr>
      <w:spacing w:after="240" w:line="240" w:lineRule="auto"/>
      <w:ind w:left="720" w:hanging="720"/>
    </w:pPr>
  </w:style>
  <w:style w:type="character" w:customStyle="1" w:styleId="Heading2Char">
    <w:name w:val="Heading 2 Char"/>
    <w:basedOn w:val="DefaultParagraphFont"/>
    <w:link w:val="Heading2"/>
    <w:uiPriority w:val="9"/>
    <w:rsid w:val="00384FD3"/>
    <w:rPr>
      <w:rFonts w:ascii="Times New Roman" w:eastAsiaTheme="majorEastAsia" w:hAnsi="Times New Roman" w:cstheme="majorBidi"/>
      <w:b/>
      <w:bCs/>
      <w:color w:val="000000" w:themeColor="text1"/>
      <w:sz w:val="24"/>
      <w:szCs w:val="28"/>
      <w:lang w:eastAsia="zh-CN" w:bidi="hi-IN"/>
    </w:rPr>
  </w:style>
  <w:style w:type="character" w:styleId="CommentReference">
    <w:name w:val="annotation reference"/>
    <w:basedOn w:val="DefaultParagraphFont"/>
    <w:uiPriority w:val="99"/>
    <w:rsid w:val="00384FD3"/>
    <w:rPr>
      <w:sz w:val="16"/>
      <w:szCs w:val="16"/>
    </w:rPr>
  </w:style>
  <w:style w:type="paragraph" w:styleId="CommentText">
    <w:name w:val="annotation text"/>
    <w:basedOn w:val="Normal"/>
    <w:link w:val="CommentTextChar1"/>
    <w:uiPriority w:val="99"/>
    <w:rsid w:val="00384FD3"/>
    <w:pPr>
      <w:suppressAutoHyphens/>
      <w:autoSpaceDN w:val="0"/>
      <w:textAlignment w:val="baseline"/>
    </w:pPr>
    <w:rPr>
      <w:rFonts w:eastAsiaTheme="minorEastAsia" w:cs="Mangal"/>
      <w:kern w:val="3"/>
      <w:sz w:val="20"/>
      <w:szCs w:val="18"/>
      <w:lang w:eastAsia="zh-CN" w:bidi="hi-IN"/>
    </w:rPr>
  </w:style>
  <w:style w:type="character" w:customStyle="1" w:styleId="CommentTextChar">
    <w:name w:val="Comment Text Char"/>
    <w:basedOn w:val="DefaultParagraphFont"/>
    <w:uiPriority w:val="99"/>
    <w:semiHidden/>
    <w:rsid w:val="00384FD3"/>
    <w:rPr>
      <w:sz w:val="20"/>
      <w:szCs w:val="20"/>
    </w:rPr>
  </w:style>
  <w:style w:type="character" w:customStyle="1" w:styleId="CommentTextChar1">
    <w:name w:val="Comment Text Char1"/>
    <w:basedOn w:val="DefaultParagraphFont"/>
    <w:link w:val="CommentText"/>
    <w:uiPriority w:val="99"/>
    <w:rsid w:val="00384FD3"/>
    <w:rPr>
      <w:rFonts w:eastAsiaTheme="minorEastAsia" w:cs="Mangal"/>
      <w:kern w:val="3"/>
      <w:sz w:val="20"/>
      <w:szCs w:val="18"/>
      <w:lang w:eastAsia="zh-CN" w:bidi="hi-IN"/>
    </w:rPr>
  </w:style>
  <w:style w:type="paragraph" w:styleId="BalloonText">
    <w:name w:val="Balloon Text"/>
    <w:basedOn w:val="Normal"/>
    <w:link w:val="BalloonTextChar"/>
    <w:uiPriority w:val="99"/>
    <w:semiHidden/>
    <w:unhideWhenUsed/>
    <w:rsid w:val="00384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D3"/>
    <w:rPr>
      <w:rFonts w:ascii="Segoe UI" w:hAnsi="Segoe UI" w:cs="Segoe UI"/>
      <w:sz w:val="18"/>
      <w:szCs w:val="18"/>
    </w:rPr>
  </w:style>
  <w:style w:type="paragraph" w:customStyle="1" w:styleId="TableContents">
    <w:name w:val="Table Contents"/>
    <w:basedOn w:val="Normal"/>
    <w:qFormat/>
    <w:rsid w:val="00384FD3"/>
    <w:pPr>
      <w:suppressLineNumbers/>
      <w:suppressAutoHyphens/>
      <w:autoSpaceDN w:val="0"/>
      <w:spacing w:before="40" w:after="40" w:line="240" w:lineRule="auto"/>
      <w:textAlignment w:val="baseline"/>
    </w:pPr>
    <w:rPr>
      <w:rFonts w:ascii="Times New Roman" w:eastAsiaTheme="minorEastAsia" w:hAnsi="Times New Roman"/>
      <w:kern w:val="3"/>
      <w:sz w:val="20"/>
      <w:lang w:eastAsia="zh-CN" w:bidi="hi-IN"/>
    </w:rPr>
  </w:style>
  <w:style w:type="paragraph" w:styleId="ListParagraph">
    <w:name w:val="List Paragraph"/>
    <w:basedOn w:val="Normal"/>
    <w:uiPriority w:val="34"/>
    <w:qFormat/>
    <w:rsid w:val="00384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8516</Words>
  <Characters>48546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Voigt</dc:creator>
  <cp:keywords/>
  <dc:description/>
  <cp:lastModifiedBy>Maria Voigt</cp:lastModifiedBy>
  <cp:revision>3</cp:revision>
  <dcterms:created xsi:type="dcterms:W3CDTF">2021-08-05T16:32:00Z</dcterms:created>
  <dcterms:modified xsi:type="dcterms:W3CDTF">2021-08-19T11:08:00Z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id="ZcccPaRO"/&gt;&lt;style id="http://www.zotero.org/styles/environmental-research-letters" hasBibliography="1" bibliographyStyleHasBeenSet="1"/&gt;&lt;prefs&gt;&lt;pref name="fieldType" value="Field"/&gt;&lt;/prefs&gt;&lt;/data</vt:lpwstr>
  </property>
  <property fmtid="{D5CDD505-2E9C-101B-9397-08002B2CF9AE}" pid="3" name="ZOTERO_PREF_2">
    <vt:lpwstr>&gt;</vt:lpwstr>
  </property>
</Properties>
</file>