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8838" w14:textId="77777777" w:rsidR="006674C5" w:rsidRPr="006674C5" w:rsidRDefault="006674C5" w:rsidP="006674C5">
      <w:pPr>
        <w:spacing w:line="360" w:lineRule="auto"/>
        <w:jc w:val="both"/>
        <w:rPr>
          <w:rFonts w:ascii="Palatino Linotype" w:eastAsia="DengXian" w:hAnsi="Palatino Linotype" w:cs="Times New Roman"/>
        </w:rPr>
      </w:pPr>
      <w:r w:rsidRPr="006674C5">
        <w:rPr>
          <w:rFonts w:ascii="Palatino Linotype" w:eastAsia="Calibri" w:hAnsi="Palatino Linotype" w:cs="Times New Roman"/>
          <w:kern w:val="0"/>
          <w:lang w:eastAsia="en-US"/>
          <w14:ligatures w14:val="none"/>
        </w:rPr>
        <w:t>Appendix 5 –</w:t>
      </w:r>
      <w:r w:rsidRPr="006674C5">
        <w:rPr>
          <w:rFonts w:ascii="Palatino Linotype" w:eastAsia="DengXian" w:hAnsi="Palatino Linotype" w:cs="Times New Roman"/>
        </w:rPr>
        <w:t>FAIRWILD RISK ANALYSIS METHODOLOGY FOR PLANTS</w:t>
      </w:r>
    </w:p>
    <w:p w14:paraId="1BDFB70B" w14:textId="77777777" w:rsidR="006674C5" w:rsidRPr="006674C5" w:rsidRDefault="006674C5" w:rsidP="006674C5">
      <w:pPr>
        <w:jc w:val="both"/>
        <w:rPr>
          <w:rFonts w:ascii="Palatino Linotype" w:eastAsia="DengXian" w:hAnsi="Palatino Linotype" w:cs="Times New Roman"/>
          <w:b/>
          <w:bCs/>
          <w:sz w:val="21"/>
          <w:szCs w:val="21"/>
        </w:rPr>
      </w:pPr>
      <w:r w:rsidRPr="006674C5">
        <w:rPr>
          <w:rFonts w:ascii="Palatino Linotype" w:eastAsia="DengXian" w:hAnsi="Palatino Linotype" w:cs="Times New Roman"/>
          <w:b/>
          <w:bCs/>
          <w:sz w:val="21"/>
          <w:szCs w:val="21"/>
        </w:rPr>
        <w:t>IUCN Medicinal Plant Specialist Group (Danna Leaman, Uwe Schippmann)</w:t>
      </w:r>
    </w:p>
    <w:p w14:paraId="707DEDA5" w14:textId="77777777" w:rsidR="006674C5" w:rsidRPr="006674C5" w:rsidRDefault="006674C5" w:rsidP="006674C5">
      <w:pPr>
        <w:jc w:val="both"/>
        <w:rPr>
          <w:rFonts w:ascii="Palatino Linotype" w:eastAsia="DengXian" w:hAnsi="Palatino Linotype" w:cs="Times New Roman"/>
          <w:b/>
          <w:bCs/>
          <w:sz w:val="21"/>
          <w:szCs w:val="21"/>
        </w:rPr>
      </w:pPr>
      <w:r w:rsidRPr="006674C5">
        <w:rPr>
          <w:rFonts w:ascii="Palatino Linotype" w:eastAsia="DengXian" w:hAnsi="Palatino Linotype" w:cs="Times New Roman"/>
          <w:b/>
          <w:bCs/>
          <w:sz w:val="21"/>
          <w:szCs w:val="21"/>
        </w:rPr>
        <w:t>Version 2/2021</w:t>
      </w:r>
    </w:p>
    <w:p w14:paraId="2A12CC2D"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b/>
          <w:bCs/>
          <w:sz w:val="21"/>
          <w:szCs w:val="21"/>
        </w:rPr>
        <w:t xml:space="preserve">4. METHODOLOGY: THE MATRIX </w:t>
      </w:r>
    </w:p>
    <w:p w14:paraId="2E2FB04B"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The factors assessed during the risk analysis for plants are presented in </w:t>
      </w:r>
      <w:r w:rsidRPr="006674C5">
        <w:rPr>
          <w:rFonts w:ascii="Palatino Linotype" w:eastAsia="DengXian" w:hAnsi="Palatino Linotype" w:cs="Times New Roman"/>
          <w:b/>
          <w:bCs/>
          <w:sz w:val="21"/>
          <w:szCs w:val="21"/>
        </w:rPr>
        <w:t>Table 1</w:t>
      </w:r>
      <w:r w:rsidRPr="006674C5">
        <w:rPr>
          <w:rFonts w:ascii="Palatino Linotype" w:eastAsia="DengXian" w:hAnsi="Palatino Linotype" w:cs="Times New Roman"/>
          <w:sz w:val="21"/>
          <w:szCs w:val="21"/>
        </w:rPr>
        <w:t xml:space="preserve">. These were selected as those which can be used to inform resilience and also which are likely to have information available in the scientific community. </w:t>
      </w:r>
    </w:p>
    <w:p w14:paraId="768AEDD5"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During the process of conducting a risk analysis, each factor is assessed as Low, Medium or High Risk, and assigned the corresponding score: Low Risk = 1, Medium Risk = 2; and High Risk = 3. </w:t>
      </w:r>
      <w:r w:rsidRPr="006674C5">
        <w:rPr>
          <w:rFonts w:ascii="Palatino Linotype" w:eastAsia="DengXian" w:hAnsi="Palatino Linotype" w:cs="Times New Roman"/>
          <w:b/>
          <w:bCs/>
          <w:sz w:val="21"/>
          <w:szCs w:val="21"/>
        </w:rPr>
        <w:t xml:space="preserve">Table 2 </w:t>
      </w:r>
      <w:r w:rsidRPr="006674C5">
        <w:rPr>
          <w:rFonts w:ascii="Palatino Linotype" w:eastAsia="DengXian" w:hAnsi="Palatino Linotype" w:cs="Times New Roman"/>
          <w:sz w:val="21"/>
          <w:szCs w:val="21"/>
        </w:rPr>
        <w:t xml:space="preserve">shows the three scoring levels for each factor and the indicators for each risk level as they are currently defined. </w:t>
      </w:r>
    </w:p>
    <w:p w14:paraId="4AD2F43F"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The scores of all individual factors are then combined to give an overall score between 9 (minimum) and 27 (maximum). This score is then used to assign an overall risk rating, as follows: 9-14 = Low Risk; 15-21 = Medium Risk; and 22-27 = High Risk. The quantitative nature of the analysis enables comparison of relative risk of over-collection between different combinations of species/part collected/country of collection, and tracking of changes in assignment of collection risk over time as more information becomes available or factors change (e.g. scale and trend of use and trade). </w:t>
      </w:r>
    </w:p>
    <w:p w14:paraId="19F0F612"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Resilience of a species to wild collection may be different for different collection operations. Resilience is dependent on the plant part gathered (factor "Plant part collected"). The factor "Conservation Status Assessment" takes into account the species’ conservation status over its entire range, as well as in the country of collection. The factors "Typical population size" and “Habitat specificity” may differ between countries and regions. Therefore, if a species has been evaluated for one country and a new application targets another country, a new analysis must be carried out, including both data collection and matrix completion. </w:t>
      </w:r>
    </w:p>
    <w:p w14:paraId="4C1CDA91"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b/>
          <w:bCs/>
          <w:sz w:val="21"/>
          <w:szCs w:val="21"/>
        </w:rPr>
        <w:t xml:space="preserve">4.1. Use of existing Red Lists </w:t>
      </w:r>
    </w:p>
    <w:p w14:paraId="09F9D834"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The first factor of the matrix evaluates the “Conservation Status Assessment” and takes into account existing Red List information. During the development of the matrix it was decided that a species which is globally or nationally (in the country of collection) assessed as Critically Endangered (CR) or Endangered (EN) according to or equivalent to the IUCN Red List Categories and Criteria would be automatically assigned as High Risk in terms of resilience. The other factors of the matrix are in these cases irrelevant. For species evaluated as Vulnerable (VU), Near Threatened (NT), Data Deficient (DD) and Least Concern (LC) or those with no conservation status assessment, one of the level states 1-3 is assigned and the other factors of the matrix have to be evaluated. </w:t>
      </w:r>
    </w:p>
    <w:p w14:paraId="50E7E91A"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b/>
          <w:bCs/>
          <w:sz w:val="21"/>
          <w:szCs w:val="21"/>
        </w:rPr>
        <w:t xml:space="preserve">4.2. Addressing lack of data </w:t>
      </w:r>
    </w:p>
    <w:p w14:paraId="6BE67CB5"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lastRenderedPageBreak/>
        <w:t xml:space="preserve">In principle, even wild plant species with little information in scientific literature can be accepted into the FairWild system. In the case where data on a factor are unavailable, the precautionary principle will be used and the factor scored as "2" indicating that it is "unknown" in the respective cell of the matrix. </w:t>
      </w:r>
    </w:p>
    <w:p w14:paraId="044B2C09"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However, with an increasing number of factors without available information, there becomes less information upon which to base the risk analysis score. Again using the precautionary principle, the matrix will therefore be completed differently depending on the number of unknown factors: </w:t>
      </w:r>
    </w:p>
    <w:p w14:paraId="52E5078C" w14:textId="77777777" w:rsidR="006674C5" w:rsidRPr="006674C5" w:rsidRDefault="006674C5" w:rsidP="006674C5">
      <w:pPr>
        <w:numPr>
          <w:ilvl w:val="0"/>
          <w:numId w:val="1"/>
        </w:numPr>
        <w:spacing w:line="360" w:lineRule="auto"/>
        <w:jc w:val="both"/>
        <w:rPr>
          <w:rFonts w:ascii="Palatino Linotype" w:eastAsia="DengXian" w:hAnsi="Palatino Linotype" w:cs="Times New Roman"/>
          <w:sz w:val="21"/>
          <w:szCs w:val="21"/>
        </w:rPr>
      </w:pPr>
      <w:r w:rsidRPr="006674C5">
        <w:rPr>
          <w:rFonts w:ascii="Palatino Linotype" w:eastAsia="DengXian" w:hAnsi="Palatino Linotype" w:cs="Times New Roman"/>
          <w:b/>
          <w:bCs/>
          <w:sz w:val="21"/>
          <w:szCs w:val="21"/>
        </w:rPr>
        <w:t>One or two factors are unknown</w:t>
      </w:r>
      <w:r w:rsidRPr="006674C5">
        <w:rPr>
          <w:rFonts w:ascii="Palatino Linotype" w:eastAsia="DengXian" w:hAnsi="Palatino Linotype" w:cs="Times New Roman"/>
          <w:sz w:val="21"/>
          <w:szCs w:val="21"/>
        </w:rPr>
        <w:t xml:space="preserve">: these factors are scored as 2, unless another scoring is justified using inferred information from another related species. </w:t>
      </w:r>
    </w:p>
    <w:p w14:paraId="375F5B21" w14:textId="77777777" w:rsidR="006674C5" w:rsidRPr="006674C5" w:rsidRDefault="006674C5" w:rsidP="006674C5">
      <w:pPr>
        <w:numPr>
          <w:ilvl w:val="0"/>
          <w:numId w:val="1"/>
        </w:numPr>
        <w:spacing w:line="360" w:lineRule="auto"/>
        <w:jc w:val="both"/>
        <w:rPr>
          <w:rFonts w:ascii="Palatino Linotype" w:eastAsia="DengXian" w:hAnsi="Palatino Linotype" w:cs="Times New Roman"/>
          <w:sz w:val="21"/>
          <w:szCs w:val="21"/>
        </w:rPr>
      </w:pPr>
      <w:r w:rsidRPr="006674C5">
        <w:rPr>
          <w:rFonts w:ascii="Palatino Linotype" w:eastAsia="DengXian" w:hAnsi="Palatino Linotype" w:cs="Times New Roman"/>
          <w:b/>
          <w:bCs/>
          <w:sz w:val="21"/>
          <w:szCs w:val="21"/>
        </w:rPr>
        <w:t>Three to four factors are unknown</w:t>
      </w:r>
      <w:r w:rsidRPr="006674C5">
        <w:rPr>
          <w:rFonts w:ascii="Palatino Linotype" w:eastAsia="DengXian" w:hAnsi="Palatino Linotype" w:cs="Times New Roman"/>
          <w:sz w:val="21"/>
          <w:szCs w:val="21"/>
        </w:rPr>
        <w:t xml:space="preserve">: as above, unless the harvest is destructive to the individual plants (Plant part collected = 3). In this case, the harvest is automatically classified as High Risk. </w:t>
      </w:r>
    </w:p>
    <w:p w14:paraId="6037CF96" w14:textId="77777777" w:rsidR="006674C5" w:rsidRPr="006674C5" w:rsidRDefault="006674C5" w:rsidP="006674C5">
      <w:pPr>
        <w:numPr>
          <w:ilvl w:val="0"/>
          <w:numId w:val="1"/>
        </w:numPr>
        <w:spacing w:line="360" w:lineRule="auto"/>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 </w:t>
      </w:r>
      <w:r w:rsidRPr="006674C5">
        <w:rPr>
          <w:rFonts w:ascii="Palatino Linotype" w:eastAsia="DengXian" w:hAnsi="Palatino Linotype" w:cs="Times New Roman"/>
          <w:b/>
          <w:bCs/>
          <w:sz w:val="21"/>
          <w:szCs w:val="21"/>
        </w:rPr>
        <w:t>Five to seven factors are unknown</w:t>
      </w:r>
      <w:r w:rsidRPr="006674C5">
        <w:rPr>
          <w:rFonts w:ascii="Palatino Linotype" w:eastAsia="DengXian" w:hAnsi="Palatino Linotype" w:cs="Times New Roman"/>
          <w:sz w:val="21"/>
          <w:szCs w:val="21"/>
        </w:rPr>
        <w:t xml:space="preserve">: The harvest is automatically classified as High Risk </w:t>
      </w:r>
    </w:p>
    <w:p w14:paraId="58239C16"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It should not be possible for more than seven factors to be unknown, as the Conservation Status Assessment Factor and Plant Part Collected will always be known. </w:t>
      </w:r>
    </w:p>
    <w:p w14:paraId="6927D5BA" w14:textId="77777777" w:rsidR="006674C5" w:rsidRPr="006674C5" w:rsidRDefault="006674C5" w:rsidP="006674C5">
      <w:pPr>
        <w:jc w:val="both"/>
        <w:rPr>
          <w:rFonts w:ascii="Palatino Linotype" w:eastAsia="DengXian" w:hAnsi="Palatino Linotype" w:cs="Times New Roman"/>
          <w:sz w:val="21"/>
          <w:szCs w:val="21"/>
        </w:rPr>
      </w:pPr>
    </w:p>
    <w:p w14:paraId="383F2354"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b/>
          <w:bCs/>
          <w:sz w:val="21"/>
          <w:szCs w:val="21"/>
        </w:rPr>
        <w:t>Table 1</w:t>
      </w:r>
      <w:r w:rsidRPr="006674C5">
        <w:rPr>
          <w:rFonts w:ascii="Palatino Linotype" w:eastAsia="DengXian" w:hAnsi="Palatino Linotype" w:cs="Times New Roman"/>
          <w:sz w:val="21"/>
          <w:szCs w:val="21"/>
        </w:rPr>
        <w:t xml:space="preserve">: Factors of Resilience </w:t>
      </w:r>
    </w:p>
    <w:tbl>
      <w:tblPr>
        <w:tblStyle w:val="PlainTable11"/>
        <w:tblW w:w="5000" w:type="pct"/>
        <w:tblLook w:val="0000" w:firstRow="0" w:lastRow="0" w:firstColumn="0" w:lastColumn="0" w:noHBand="0" w:noVBand="0"/>
      </w:tblPr>
      <w:tblGrid>
        <w:gridCol w:w="4508"/>
        <w:gridCol w:w="4508"/>
      </w:tblGrid>
      <w:tr w:rsidR="006674C5" w:rsidRPr="006674C5" w14:paraId="750F0FC7" w14:textId="77777777" w:rsidTr="00E86986">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2500" w:type="pct"/>
          </w:tcPr>
          <w:p w14:paraId="693B106D" w14:textId="77777777" w:rsidR="006674C5" w:rsidRPr="006674C5" w:rsidRDefault="006674C5" w:rsidP="006674C5">
            <w:pPr>
              <w:jc w:val="both"/>
              <w:rPr>
                <w:rFonts w:ascii="Palatino Linotype" w:hAnsi="Palatino Linotype" w:cs="Times New Roman"/>
                <w:b/>
                <w:bCs/>
                <w:sz w:val="21"/>
                <w:szCs w:val="21"/>
              </w:rPr>
            </w:pPr>
            <w:r w:rsidRPr="006674C5">
              <w:rPr>
                <w:rFonts w:ascii="Palatino Linotype" w:hAnsi="Palatino Linotype" w:cs="Times New Roman"/>
                <w:b/>
                <w:bCs/>
                <w:sz w:val="21"/>
                <w:szCs w:val="21"/>
              </w:rPr>
              <w:t>Factor</w:t>
            </w:r>
          </w:p>
        </w:tc>
        <w:tc>
          <w:tcPr>
            <w:tcW w:w="2500" w:type="pct"/>
          </w:tcPr>
          <w:p w14:paraId="19F2074F" w14:textId="77777777" w:rsidR="006674C5" w:rsidRPr="006674C5" w:rsidRDefault="006674C5" w:rsidP="006674C5">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b/>
                <w:bCs/>
                <w:sz w:val="21"/>
                <w:szCs w:val="21"/>
              </w:rPr>
              <w:t xml:space="preserve">Definition </w:t>
            </w:r>
          </w:p>
        </w:tc>
      </w:tr>
      <w:tr w:rsidR="006674C5" w:rsidRPr="006674C5" w14:paraId="0AA9FEA0" w14:textId="77777777" w:rsidTr="00E86986">
        <w:trPr>
          <w:trHeight w:val="103"/>
        </w:trPr>
        <w:tc>
          <w:tcPr>
            <w:cnfStyle w:val="000010000000" w:firstRow="0" w:lastRow="0" w:firstColumn="0" w:lastColumn="0" w:oddVBand="1" w:evenVBand="0" w:oddHBand="0" w:evenHBand="0" w:firstRowFirstColumn="0" w:firstRowLastColumn="0" w:lastRowFirstColumn="0" w:lastRowLastColumn="0"/>
            <w:tcW w:w="2500" w:type="pct"/>
          </w:tcPr>
          <w:p w14:paraId="5DDD3A54" w14:textId="77777777" w:rsidR="006674C5" w:rsidRPr="006674C5" w:rsidRDefault="006674C5" w:rsidP="006674C5">
            <w:pPr>
              <w:jc w:val="both"/>
              <w:rPr>
                <w:rFonts w:ascii="Palatino Linotype" w:hAnsi="Palatino Linotype" w:cs="Times New Roman"/>
                <w:b/>
                <w:bCs/>
                <w:sz w:val="21"/>
                <w:szCs w:val="21"/>
              </w:rPr>
            </w:pPr>
          </w:p>
        </w:tc>
        <w:tc>
          <w:tcPr>
            <w:tcW w:w="2500" w:type="pct"/>
          </w:tcPr>
          <w:p w14:paraId="0B139E3B" w14:textId="77777777" w:rsidR="006674C5" w:rsidRPr="006674C5" w:rsidRDefault="006674C5" w:rsidP="006674C5">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b/>
                <w:bCs/>
                <w:sz w:val="21"/>
                <w:szCs w:val="21"/>
              </w:rPr>
            </w:pPr>
          </w:p>
        </w:tc>
      </w:tr>
      <w:tr w:rsidR="006674C5" w:rsidRPr="006674C5" w14:paraId="274D4D42" w14:textId="77777777" w:rsidTr="00E86986">
        <w:trPr>
          <w:cnfStyle w:val="000000100000" w:firstRow="0" w:lastRow="0" w:firstColumn="0" w:lastColumn="0" w:oddVBand="0" w:evenVBand="0" w:oddHBand="1" w:evenHBand="0" w:firstRowFirstColumn="0" w:firstRowLastColumn="0" w:lastRowFirstColumn="0" w:lastRowLastColumn="0"/>
          <w:trHeight w:val="861"/>
        </w:trPr>
        <w:tc>
          <w:tcPr>
            <w:cnfStyle w:val="000010000000" w:firstRow="0" w:lastRow="0" w:firstColumn="0" w:lastColumn="0" w:oddVBand="1" w:evenVBand="0" w:oddHBand="0" w:evenHBand="0" w:firstRowFirstColumn="0" w:firstRowLastColumn="0" w:lastRowFirstColumn="0" w:lastRowLastColumn="0"/>
            <w:tcW w:w="2500" w:type="pct"/>
          </w:tcPr>
          <w:p w14:paraId="3699F4A7"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t xml:space="preserve">Conservation Status Assessment </w:t>
            </w:r>
          </w:p>
        </w:tc>
        <w:tc>
          <w:tcPr>
            <w:tcW w:w="2500" w:type="pct"/>
          </w:tcPr>
          <w:p w14:paraId="4B4B6ACE" w14:textId="77777777" w:rsidR="006674C5" w:rsidRPr="006674C5" w:rsidRDefault="006674C5" w:rsidP="006674C5">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evaluates the known conservation status of populations of the target species. In case national and/or global threat assessments have rated the species as Critically Endangered (CR) or Endangered (EN) according to or equivalent to the IUCN Red List Categories and Criteria (version 3.1), the species is automatically assigned to the High Risk category. For species evaluated as Vulnerable (VU), Near Threatened (NT), Data Deficient (DD) and Least Concern (LC) or those with no conservation status evaluation, one of the level states 1-3 is assigned. </w:t>
            </w:r>
          </w:p>
        </w:tc>
      </w:tr>
      <w:tr w:rsidR="006674C5" w:rsidRPr="006674C5" w14:paraId="1B0B3B45" w14:textId="77777777" w:rsidTr="00E86986">
        <w:trPr>
          <w:trHeight w:val="356"/>
        </w:trPr>
        <w:tc>
          <w:tcPr>
            <w:cnfStyle w:val="000010000000" w:firstRow="0" w:lastRow="0" w:firstColumn="0" w:lastColumn="0" w:oddVBand="1" w:evenVBand="0" w:oddHBand="0" w:evenHBand="0" w:firstRowFirstColumn="0" w:firstRowLastColumn="0" w:lastRowFirstColumn="0" w:lastRowLastColumn="0"/>
            <w:tcW w:w="2500" w:type="pct"/>
          </w:tcPr>
          <w:p w14:paraId="5B99B072"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t xml:space="preserve">Threat Causes </w:t>
            </w:r>
          </w:p>
        </w:tc>
        <w:tc>
          <w:tcPr>
            <w:tcW w:w="2500" w:type="pct"/>
          </w:tcPr>
          <w:p w14:paraId="3212EC97" w14:textId="77777777" w:rsidR="006674C5" w:rsidRPr="006674C5" w:rsidRDefault="006674C5" w:rsidP="006674C5">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assesses whether the known causes of threat to the target species -if any- are single or multiple. Threat causes other than collection include habitat loss, degradation or land use changes, impact of invasive alien species. </w:t>
            </w:r>
          </w:p>
        </w:tc>
      </w:tr>
      <w:tr w:rsidR="006674C5" w:rsidRPr="006674C5" w14:paraId="56057972" w14:textId="77777777" w:rsidTr="00E86986">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2500" w:type="pct"/>
          </w:tcPr>
          <w:p w14:paraId="18ED7473"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lastRenderedPageBreak/>
              <w:t xml:space="preserve">Scale and trend of use and trade </w:t>
            </w:r>
          </w:p>
        </w:tc>
        <w:tc>
          <w:tcPr>
            <w:tcW w:w="2500" w:type="pct"/>
          </w:tcPr>
          <w:p w14:paraId="689923F6" w14:textId="77777777" w:rsidR="006674C5" w:rsidRPr="006674C5" w:rsidRDefault="006674C5" w:rsidP="006674C5">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assesses the level of trade (volumes if available; otherwise, a qualitative assessment), its diversity (only single use or multiple uses) and its current and future trend. It also takes into account whether trade is on a local, national, or international scale. </w:t>
            </w:r>
          </w:p>
        </w:tc>
      </w:tr>
      <w:tr w:rsidR="006674C5" w:rsidRPr="006674C5" w14:paraId="02C7C90E" w14:textId="77777777" w:rsidTr="00E86986">
        <w:trPr>
          <w:trHeight w:val="1115"/>
        </w:trPr>
        <w:tc>
          <w:tcPr>
            <w:cnfStyle w:val="000010000000" w:firstRow="0" w:lastRow="0" w:firstColumn="0" w:lastColumn="0" w:oddVBand="1" w:evenVBand="0" w:oddHBand="0" w:evenHBand="0" w:firstRowFirstColumn="0" w:firstRowLastColumn="0" w:lastRowFirstColumn="0" w:lastRowLastColumn="0"/>
            <w:tcW w:w="2500" w:type="pct"/>
          </w:tcPr>
          <w:p w14:paraId="2B10E587"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t xml:space="preserve">Plant part collected </w:t>
            </w:r>
          </w:p>
        </w:tc>
        <w:tc>
          <w:tcPr>
            <w:tcW w:w="2500" w:type="pct"/>
          </w:tcPr>
          <w:p w14:paraId="42424116" w14:textId="77777777" w:rsidR="006674C5" w:rsidRPr="006674C5" w:rsidRDefault="006674C5" w:rsidP="006674C5">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The resilience of the target species is dependent on the plant part which is collected in relation to the ability of the individual plant and the harvested population to recover. E.g. collection of leaves from a tree species is regarded as having low risk of killing the tree or decreasing the population over time, while collection of roots from an herb species rates as High Risk because each plant collected may be destroyed by the collection. For the evaluation of this factor, the life form of the species (annual, biennial, perennial, geophyte, shrub, and tree) has to be taken into account. In case branches would be cut to harvest leaves, this destructive harvest practice must be handled under “Threat causes” (Factor 11). </w:t>
            </w:r>
          </w:p>
        </w:tc>
      </w:tr>
      <w:tr w:rsidR="006674C5" w:rsidRPr="006674C5" w14:paraId="17978998" w14:textId="77777777" w:rsidTr="00E86986">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2500" w:type="pct"/>
          </w:tcPr>
          <w:p w14:paraId="4578CC51"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t xml:space="preserve">Geographic Distribution </w:t>
            </w:r>
          </w:p>
        </w:tc>
        <w:tc>
          <w:tcPr>
            <w:tcW w:w="2500" w:type="pct"/>
          </w:tcPr>
          <w:p w14:paraId="46431C0A" w14:textId="77777777" w:rsidR="006674C5" w:rsidRPr="006674C5" w:rsidRDefault="006674C5" w:rsidP="006674C5">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assesses the known global range of the species. </w:t>
            </w:r>
          </w:p>
        </w:tc>
      </w:tr>
      <w:tr w:rsidR="006674C5" w:rsidRPr="006674C5" w14:paraId="10899A1E" w14:textId="77777777" w:rsidTr="00E86986">
        <w:trPr>
          <w:trHeight w:val="734"/>
        </w:trPr>
        <w:tc>
          <w:tcPr>
            <w:cnfStyle w:val="000010000000" w:firstRow="0" w:lastRow="0" w:firstColumn="0" w:lastColumn="0" w:oddVBand="1" w:evenVBand="0" w:oddHBand="0" w:evenHBand="0" w:firstRowFirstColumn="0" w:firstRowLastColumn="0" w:lastRowFirstColumn="0" w:lastRowLastColumn="0"/>
            <w:tcW w:w="2500" w:type="pct"/>
          </w:tcPr>
          <w:p w14:paraId="2B865D84"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t xml:space="preserve">Typical population size </w:t>
            </w:r>
          </w:p>
        </w:tc>
        <w:tc>
          <w:tcPr>
            <w:tcW w:w="2500" w:type="pct"/>
          </w:tcPr>
          <w:p w14:paraId="5CBE6DDD" w14:textId="77777777" w:rsidR="006674C5" w:rsidRPr="006674C5" w:rsidRDefault="006674C5" w:rsidP="006674C5">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assesses the spatial distribution across the range of the species. It measures whether populations are large, abundant and homogeneous or small, clumped and scattered. This factor may be assessed differently depending on the country of collection because many species are distributed across national political boundaries and may be more abundant in the centre of their natural range and less abundant at the periphery. </w:t>
            </w:r>
          </w:p>
        </w:tc>
      </w:tr>
      <w:tr w:rsidR="006674C5" w:rsidRPr="006674C5" w14:paraId="4B63A98F" w14:textId="77777777" w:rsidTr="00E86986">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2500" w:type="pct"/>
          </w:tcPr>
          <w:p w14:paraId="09EA3AC8"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t xml:space="preserve">Habitat Specificity </w:t>
            </w:r>
          </w:p>
        </w:tc>
        <w:tc>
          <w:tcPr>
            <w:tcW w:w="2500" w:type="pct"/>
          </w:tcPr>
          <w:p w14:paraId="79DDC1E0" w14:textId="77777777" w:rsidR="006674C5" w:rsidRPr="006674C5" w:rsidRDefault="006674C5" w:rsidP="006674C5">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assesses habitat preference of the target species. It looks at the number of habitats occupied and also at the possible threat to these habitats. This factor may be assessed differently depending on the country of collection. </w:t>
            </w:r>
          </w:p>
        </w:tc>
      </w:tr>
      <w:tr w:rsidR="006674C5" w:rsidRPr="006674C5" w14:paraId="268646E8" w14:textId="77777777" w:rsidTr="00E86986">
        <w:trPr>
          <w:trHeight w:val="482"/>
        </w:trPr>
        <w:tc>
          <w:tcPr>
            <w:cnfStyle w:val="000010000000" w:firstRow="0" w:lastRow="0" w:firstColumn="0" w:lastColumn="0" w:oddVBand="1" w:evenVBand="0" w:oddHBand="0" w:evenHBand="0" w:firstRowFirstColumn="0" w:firstRowLastColumn="0" w:lastRowFirstColumn="0" w:lastRowLastColumn="0"/>
            <w:tcW w:w="2500" w:type="pct"/>
          </w:tcPr>
          <w:p w14:paraId="496C9E1A"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t xml:space="preserve">Regeneration </w:t>
            </w:r>
          </w:p>
        </w:tc>
        <w:tc>
          <w:tcPr>
            <w:tcW w:w="2500" w:type="pct"/>
          </w:tcPr>
          <w:p w14:paraId="66FA2C67" w14:textId="77777777" w:rsidR="006674C5" w:rsidRPr="006674C5" w:rsidRDefault="006674C5" w:rsidP="006674C5">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assesses the capacity of the individual plant (or the population, in the case of annuals or lethal harvest) to regenerate the material collected after harvest. Aspects of this are the general growth rate and especially the (re-)sprouting capability </w:t>
            </w:r>
            <w:r w:rsidRPr="006674C5">
              <w:rPr>
                <w:rFonts w:ascii="Palatino Linotype" w:hAnsi="Palatino Linotype" w:cs="Times New Roman"/>
                <w:sz w:val="21"/>
                <w:szCs w:val="21"/>
              </w:rPr>
              <w:lastRenderedPageBreak/>
              <w:t xml:space="preserve">(rhizomes, creepers, clonal growth) of perennials. </w:t>
            </w:r>
          </w:p>
        </w:tc>
      </w:tr>
      <w:tr w:rsidR="006674C5" w:rsidRPr="006674C5" w14:paraId="72DD0A59" w14:textId="77777777" w:rsidTr="00E86986">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2500" w:type="pct"/>
          </w:tcPr>
          <w:p w14:paraId="085B03CF"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b/>
                <w:bCs/>
                <w:sz w:val="21"/>
                <w:szCs w:val="21"/>
              </w:rPr>
              <w:lastRenderedPageBreak/>
              <w:t xml:space="preserve">Reproduction </w:t>
            </w:r>
          </w:p>
        </w:tc>
        <w:tc>
          <w:tcPr>
            <w:tcW w:w="2500" w:type="pct"/>
          </w:tcPr>
          <w:p w14:paraId="26ADC14A" w14:textId="77777777" w:rsidR="006674C5" w:rsidRPr="006674C5" w:rsidRDefault="006674C5" w:rsidP="006674C5">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This factor evaluates the relative reproductive specialization of the target species, where asexual reproduction, abiotic pollination and seed dispersal, and abundant pollinators and seed dispersers are less specialized than sexual reproduction, biotic pollination and seed dispersal, and abundant pollinators and seed dispersers. A reduction in availability of individuals or reproductive parts (flowers, seeds) will have a greater impact with greater specialization. </w:t>
            </w:r>
          </w:p>
        </w:tc>
      </w:tr>
    </w:tbl>
    <w:p w14:paraId="24E2E9B3" w14:textId="77777777" w:rsidR="006674C5" w:rsidRPr="006674C5" w:rsidRDefault="006674C5" w:rsidP="006674C5">
      <w:pPr>
        <w:jc w:val="both"/>
        <w:rPr>
          <w:rFonts w:ascii="Palatino Linotype" w:eastAsia="DengXian" w:hAnsi="Palatino Linotype" w:cs="Times New Roman"/>
          <w:sz w:val="21"/>
          <w:szCs w:val="21"/>
        </w:rPr>
      </w:pPr>
    </w:p>
    <w:p w14:paraId="302C4B20" w14:textId="77777777" w:rsidR="006674C5" w:rsidRPr="006674C5" w:rsidRDefault="006674C5" w:rsidP="006674C5">
      <w:pPr>
        <w:jc w:val="both"/>
        <w:rPr>
          <w:rFonts w:ascii="Palatino Linotype" w:eastAsia="DengXian" w:hAnsi="Palatino Linotype" w:cs="Times New Roman"/>
          <w:sz w:val="21"/>
          <w:szCs w:val="21"/>
        </w:rPr>
      </w:pPr>
      <w:r w:rsidRPr="006674C5">
        <w:rPr>
          <w:rFonts w:ascii="Palatino Linotype" w:eastAsia="DengXian" w:hAnsi="Palatino Linotype" w:cs="Times New Roman"/>
          <w:sz w:val="21"/>
          <w:szCs w:val="21"/>
        </w:rPr>
        <w:t xml:space="preserve">Table 2: Factors and definition of risk levels </w:t>
      </w:r>
    </w:p>
    <w:tbl>
      <w:tblPr>
        <w:tblStyle w:val="PlainTable11"/>
        <w:tblW w:w="5000" w:type="pct"/>
        <w:tblLook w:val="0000" w:firstRow="0" w:lastRow="0" w:firstColumn="0" w:lastColumn="0" w:noHBand="0" w:noVBand="0"/>
      </w:tblPr>
      <w:tblGrid>
        <w:gridCol w:w="3006"/>
        <w:gridCol w:w="3006"/>
        <w:gridCol w:w="3004"/>
      </w:tblGrid>
      <w:tr w:rsidR="006674C5" w:rsidRPr="006674C5" w14:paraId="6FA7BFBA"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2E4ACEF6"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Risk Level </w:t>
            </w:r>
          </w:p>
        </w:tc>
        <w:tc>
          <w:tcPr>
            <w:tcW w:w="1667" w:type="pct"/>
          </w:tcPr>
          <w:p w14:paraId="06F28006"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b/>
                <w:bCs/>
                <w:sz w:val="21"/>
                <w:szCs w:val="21"/>
              </w:rPr>
              <w:t xml:space="preserve">Score </w:t>
            </w:r>
          </w:p>
        </w:tc>
        <w:tc>
          <w:tcPr>
            <w:cnfStyle w:val="000010000000" w:firstRow="0" w:lastRow="0" w:firstColumn="0" w:lastColumn="0" w:oddVBand="1" w:evenVBand="0" w:oddHBand="0" w:evenHBand="0" w:firstRowFirstColumn="0" w:firstRowLastColumn="0" w:lastRowFirstColumn="0" w:lastRowLastColumn="0"/>
            <w:tcW w:w="1667" w:type="pct"/>
          </w:tcPr>
          <w:p w14:paraId="202612B0"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b/>
                <w:bCs/>
                <w:sz w:val="21"/>
                <w:szCs w:val="21"/>
              </w:rPr>
              <w:t xml:space="preserve">Definition </w:t>
            </w:r>
          </w:p>
        </w:tc>
      </w:tr>
      <w:tr w:rsidR="006674C5" w:rsidRPr="006674C5" w14:paraId="0DB5D907"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117341F4"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Conservation Status Assessment </w:t>
            </w:r>
          </w:p>
        </w:tc>
      </w:tr>
      <w:tr w:rsidR="006674C5" w:rsidRPr="006674C5" w14:paraId="36494E57" w14:textId="77777777" w:rsidTr="00E86986">
        <w:trPr>
          <w:cnfStyle w:val="000000100000" w:firstRow="0" w:lastRow="0" w:firstColumn="0" w:lastColumn="0" w:oddVBand="0" w:evenVBand="0" w:oddHBand="1" w:evenHBand="0" w:firstRowFirstColumn="0" w:firstRowLastColumn="0" w:lastRowFirstColumn="0" w:lastRowLastColumn="0"/>
          <w:trHeight w:val="187"/>
        </w:trPr>
        <w:tc>
          <w:tcPr>
            <w:cnfStyle w:val="000010000000" w:firstRow="0" w:lastRow="0" w:firstColumn="0" w:lastColumn="0" w:oddVBand="1" w:evenVBand="0" w:oddHBand="0" w:evenHBand="0" w:firstRowFirstColumn="0" w:firstRowLastColumn="0" w:lastRowFirstColumn="0" w:lastRowLastColumn="0"/>
            <w:tcW w:w="1667" w:type="pct"/>
          </w:tcPr>
          <w:p w14:paraId="14539B8A"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6682C73C"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42223B4A"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Conservation status assessed as "Least Concern" (LC); populations not declining (stable or increasing) </w:t>
            </w:r>
          </w:p>
        </w:tc>
      </w:tr>
      <w:tr w:rsidR="006674C5" w:rsidRPr="006674C5" w14:paraId="219BB621" w14:textId="77777777" w:rsidTr="00E86986">
        <w:trPr>
          <w:trHeight w:val="187"/>
        </w:trPr>
        <w:tc>
          <w:tcPr>
            <w:cnfStyle w:val="000010000000" w:firstRow="0" w:lastRow="0" w:firstColumn="0" w:lastColumn="0" w:oddVBand="1" w:evenVBand="0" w:oddHBand="0" w:evenHBand="0" w:firstRowFirstColumn="0" w:firstRowLastColumn="0" w:lastRowFirstColumn="0" w:lastRowLastColumn="0"/>
            <w:tcW w:w="1667" w:type="pct"/>
          </w:tcPr>
          <w:p w14:paraId="354F2BE2"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3953537F"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4CB6F32C"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Conservation status assessed as "Data Deficient" (DD) or threat category for the species has not (yet) been assigned; populations not known to be declining </w:t>
            </w:r>
          </w:p>
        </w:tc>
      </w:tr>
      <w:tr w:rsidR="006674C5" w:rsidRPr="006674C5" w14:paraId="1517AE8D"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6DA6CCFA"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33128D7B"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69CA687F"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Conservation status assessed as "Near Threatened" (NT) or "Vulnerable" (VU); populations declining </w:t>
            </w:r>
          </w:p>
        </w:tc>
      </w:tr>
      <w:tr w:rsidR="006674C5" w:rsidRPr="006674C5" w14:paraId="5833CF7E"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4890059A"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Threat Causes </w:t>
            </w:r>
          </w:p>
        </w:tc>
      </w:tr>
      <w:tr w:rsidR="006674C5" w:rsidRPr="006674C5" w14:paraId="50118B15"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56ABF9DA"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1E9CFB4F"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0761DABF"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No threats to the species are known or likely to exist </w:t>
            </w:r>
          </w:p>
        </w:tc>
      </w:tr>
      <w:tr w:rsidR="006674C5" w:rsidRPr="006674C5" w14:paraId="735C85BF" w14:textId="77777777" w:rsidTr="00E86986">
        <w:trPr>
          <w:trHeight w:val="93"/>
        </w:trPr>
        <w:tc>
          <w:tcPr>
            <w:cnfStyle w:val="000010000000" w:firstRow="0" w:lastRow="0" w:firstColumn="0" w:lastColumn="0" w:oddVBand="1" w:evenVBand="0" w:oddHBand="0" w:evenHBand="0" w:firstRowFirstColumn="0" w:firstRowLastColumn="0" w:lastRowFirstColumn="0" w:lastRowLastColumn="0"/>
            <w:tcW w:w="1667" w:type="pct"/>
          </w:tcPr>
          <w:p w14:paraId="4C117939"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55645C51"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06367CC0"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faces single threat cause </w:t>
            </w:r>
          </w:p>
        </w:tc>
      </w:tr>
      <w:tr w:rsidR="006674C5" w:rsidRPr="006674C5" w14:paraId="5963B686" w14:textId="77777777" w:rsidTr="00E86986">
        <w:trPr>
          <w:cnfStyle w:val="000000100000" w:firstRow="0" w:lastRow="0" w:firstColumn="0" w:lastColumn="0" w:oddVBand="0" w:evenVBand="0" w:oddHBand="1" w:evenHBand="0" w:firstRowFirstColumn="0" w:firstRowLastColumn="0" w:lastRowFirstColumn="0" w:lastRowLastColumn="0"/>
          <w:trHeight w:val="187"/>
        </w:trPr>
        <w:tc>
          <w:tcPr>
            <w:cnfStyle w:val="000010000000" w:firstRow="0" w:lastRow="0" w:firstColumn="0" w:lastColumn="0" w:oddVBand="1" w:evenVBand="0" w:oddHBand="0" w:evenHBand="0" w:firstRowFirstColumn="0" w:firstRowLastColumn="0" w:lastRowFirstColumn="0" w:lastRowLastColumn="0"/>
            <w:tcW w:w="1667" w:type="pct"/>
          </w:tcPr>
          <w:p w14:paraId="3F83F2D6"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4407DEB9"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7CF83705"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either faces multiple threat causes or severe habitat loss; or destructive collection practices are used </w:t>
            </w:r>
          </w:p>
        </w:tc>
      </w:tr>
      <w:tr w:rsidR="006674C5" w:rsidRPr="006674C5" w14:paraId="6F72233A"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615E0852"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Scale and trend of use and trade </w:t>
            </w:r>
          </w:p>
        </w:tc>
      </w:tr>
      <w:tr w:rsidR="006674C5" w:rsidRPr="006674C5" w14:paraId="71ECFF43"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08BE686D"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0BB8D6EC"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4D19CD7C"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Used in one field; trade level low or even decreasing; no shortage of material observed </w:t>
            </w:r>
          </w:p>
        </w:tc>
      </w:tr>
      <w:tr w:rsidR="006674C5" w:rsidRPr="006674C5" w14:paraId="1A7D42EF" w14:textId="77777777" w:rsidTr="00E86986">
        <w:trPr>
          <w:trHeight w:val="93"/>
        </w:trPr>
        <w:tc>
          <w:tcPr>
            <w:cnfStyle w:val="000010000000" w:firstRow="0" w:lastRow="0" w:firstColumn="0" w:lastColumn="0" w:oddVBand="1" w:evenVBand="0" w:oddHBand="0" w:evenHBand="0" w:firstRowFirstColumn="0" w:firstRowLastColumn="0" w:lastRowFirstColumn="0" w:lastRowLastColumn="0"/>
            <w:tcW w:w="1667" w:type="pct"/>
          </w:tcPr>
          <w:p w14:paraId="2C0998CA"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07374325"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6E179A09"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Several non-conflicting uses; trade level medium or slowly increasing </w:t>
            </w:r>
          </w:p>
        </w:tc>
      </w:tr>
      <w:tr w:rsidR="006674C5" w:rsidRPr="006674C5" w14:paraId="3D49039F"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527D8172"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lastRenderedPageBreak/>
              <w:t xml:space="preserve">High Risk </w:t>
            </w:r>
          </w:p>
        </w:tc>
        <w:tc>
          <w:tcPr>
            <w:tcW w:w="1667" w:type="pct"/>
          </w:tcPr>
          <w:p w14:paraId="33DBDC37"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149BEFBE"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Multiple, conflicting uses; trade level high; demand increasing; shortages of material in trade </w:t>
            </w:r>
          </w:p>
        </w:tc>
      </w:tr>
      <w:tr w:rsidR="006674C5" w:rsidRPr="006674C5" w14:paraId="2A67685D"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351CBC0F"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Plant part collected </w:t>
            </w:r>
          </w:p>
        </w:tc>
      </w:tr>
      <w:tr w:rsidR="006674C5" w:rsidRPr="006674C5" w14:paraId="2681443E"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5C1B7440"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2447AB7F"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6C8ADE5B"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Collection of leaves, flowers or fruits of trees, shrubs or perennial plants </w:t>
            </w:r>
          </w:p>
        </w:tc>
      </w:tr>
      <w:tr w:rsidR="006674C5" w:rsidRPr="006674C5" w14:paraId="6A22B5AC" w14:textId="77777777" w:rsidTr="00E86986">
        <w:trPr>
          <w:trHeight w:val="93"/>
        </w:trPr>
        <w:tc>
          <w:tcPr>
            <w:cnfStyle w:val="000010000000" w:firstRow="0" w:lastRow="0" w:firstColumn="0" w:lastColumn="0" w:oddVBand="1" w:evenVBand="0" w:oddHBand="0" w:evenHBand="0" w:firstRowFirstColumn="0" w:firstRowLastColumn="0" w:lastRowFirstColumn="0" w:lastRowLastColumn="0"/>
            <w:tcW w:w="1667" w:type="pct"/>
          </w:tcPr>
          <w:p w14:paraId="4823C9AD"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1FFCD2CF"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41300453"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Exudates (sap, resin) </w:t>
            </w:r>
          </w:p>
        </w:tc>
      </w:tr>
      <w:tr w:rsidR="006674C5" w:rsidRPr="006674C5" w14:paraId="70253B1B" w14:textId="77777777" w:rsidTr="00E86986">
        <w:trPr>
          <w:cnfStyle w:val="000000100000" w:firstRow="0" w:lastRow="0" w:firstColumn="0" w:lastColumn="0" w:oddVBand="0" w:evenVBand="0" w:oddHBand="1" w:evenHBand="0" w:firstRowFirstColumn="0" w:firstRowLastColumn="0" w:lastRowFirstColumn="0" w:lastRowLastColumn="0"/>
          <w:trHeight w:val="187"/>
        </w:trPr>
        <w:tc>
          <w:tcPr>
            <w:cnfStyle w:val="000010000000" w:firstRow="0" w:lastRow="0" w:firstColumn="0" w:lastColumn="0" w:oddVBand="1" w:evenVBand="0" w:oddHBand="0" w:evenHBand="0" w:firstRowFirstColumn="0" w:firstRowLastColumn="0" w:lastRowFirstColumn="0" w:lastRowLastColumn="0"/>
            <w:tcW w:w="1667" w:type="pct"/>
          </w:tcPr>
          <w:p w14:paraId="50A0794D"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375A5571"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1F8C9B0E"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Collection of whole plants; collection of annual plants; collection of bulbs, bark or roots; apical meristem of monocarpic species </w:t>
            </w:r>
          </w:p>
        </w:tc>
      </w:tr>
      <w:tr w:rsidR="006674C5" w:rsidRPr="006674C5" w14:paraId="028CA4FC"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5F595E89"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Geographic Distribution </w:t>
            </w:r>
          </w:p>
        </w:tc>
      </w:tr>
      <w:tr w:rsidR="006674C5" w:rsidRPr="006674C5" w14:paraId="4ADB0A00"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68A20AA5"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2B7F5781"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4F4CA822"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Distribution is internationally widespread, species occurs on &gt;1 continent </w:t>
            </w:r>
          </w:p>
        </w:tc>
      </w:tr>
      <w:tr w:rsidR="006674C5" w:rsidRPr="006674C5" w14:paraId="44F5CA8F" w14:textId="77777777" w:rsidTr="00E86986">
        <w:trPr>
          <w:trHeight w:val="93"/>
        </w:trPr>
        <w:tc>
          <w:tcPr>
            <w:cnfStyle w:val="000010000000" w:firstRow="0" w:lastRow="0" w:firstColumn="0" w:lastColumn="0" w:oddVBand="1" w:evenVBand="0" w:oddHBand="0" w:evenHBand="0" w:firstRowFirstColumn="0" w:firstRowLastColumn="0" w:lastRowFirstColumn="0" w:lastRowLastColumn="0"/>
            <w:tcW w:w="1667" w:type="pct"/>
          </w:tcPr>
          <w:p w14:paraId="501B802F"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4A117147"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1A338158"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Distribution is regionally restricted, often to one continent </w:t>
            </w:r>
          </w:p>
        </w:tc>
      </w:tr>
      <w:tr w:rsidR="006674C5" w:rsidRPr="006674C5" w14:paraId="4375DC95"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2468B5A1"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600CA79F"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60875933"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Distribution is locally restricted, i.e. to several or few countries or even endemic to one country </w:t>
            </w:r>
          </w:p>
        </w:tc>
      </w:tr>
      <w:tr w:rsidR="006674C5" w:rsidRPr="006674C5" w14:paraId="4F5AC83B"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1B9C1EEA"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Typical Population Size </w:t>
            </w:r>
          </w:p>
        </w:tc>
      </w:tr>
      <w:tr w:rsidR="006674C5" w:rsidRPr="006674C5" w14:paraId="58DF5F6C"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68C05560"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35982AD4"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29AFD086"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Populations often large and spread homogeneously across the landscape </w:t>
            </w:r>
          </w:p>
        </w:tc>
      </w:tr>
      <w:tr w:rsidR="006674C5" w:rsidRPr="006674C5" w14:paraId="6714FA25" w14:textId="77777777" w:rsidTr="00E86986">
        <w:trPr>
          <w:trHeight w:val="93"/>
        </w:trPr>
        <w:tc>
          <w:tcPr>
            <w:cnfStyle w:val="000010000000" w:firstRow="0" w:lastRow="0" w:firstColumn="0" w:lastColumn="0" w:oddVBand="1" w:evenVBand="0" w:oddHBand="0" w:evenHBand="0" w:firstRowFirstColumn="0" w:firstRowLastColumn="0" w:lastRowFirstColumn="0" w:lastRowLastColumn="0"/>
            <w:tcW w:w="1667" w:type="pct"/>
          </w:tcPr>
          <w:p w14:paraId="0C5C9BA9"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57CC6BAC"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584B980C"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Populations mostly medium-sized, sometimes large, often clumped </w:t>
            </w:r>
          </w:p>
        </w:tc>
      </w:tr>
      <w:tr w:rsidR="006674C5" w:rsidRPr="006674C5" w14:paraId="7DFE07F7"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2ACD4BF6"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20E7F323"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7D67463A"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Populations everywhere small; scattered thinly across the landscape </w:t>
            </w:r>
          </w:p>
        </w:tc>
      </w:tr>
      <w:tr w:rsidR="006674C5" w:rsidRPr="006674C5" w14:paraId="1B2124EB"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15849A53"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Habitat Specificity </w:t>
            </w:r>
          </w:p>
        </w:tc>
      </w:tr>
      <w:tr w:rsidR="006674C5" w:rsidRPr="006674C5" w14:paraId="7AD65D69"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6191F8C7"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3801C6FB"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373B591C"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is highly adaptable to various habitat types; habitat stable </w:t>
            </w:r>
          </w:p>
        </w:tc>
      </w:tr>
      <w:tr w:rsidR="006674C5" w:rsidRPr="006674C5" w14:paraId="32A62938" w14:textId="77777777" w:rsidTr="00E86986">
        <w:trPr>
          <w:trHeight w:val="93"/>
        </w:trPr>
        <w:tc>
          <w:tcPr>
            <w:cnfStyle w:val="000010000000" w:firstRow="0" w:lastRow="0" w:firstColumn="0" w:lastColumn="0" w:oddVBand="1" w:evenVBand="0" w:oddHBand="0" w:evenHBand="0" w:firstRowFirstColumn="0" w:firstRowLastColumn="0" w:lastRowFirstColumn="0" w:lastRowLastColumn="0"/>
            <w:tcW w:w="1667" w:type="pct"/>
          </w:tcPr>
          <w:p w14:paraId="0CCA87F9"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50CF14A0"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33572EAB"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is adapted to few habitat types or many, but threatened habitat types </w:t>
            </w:r>
          </w:p>
        </w:tc>
      </w:tr>
      <w:tr w:rsidR="006674C5" w:rsidRPr="006674C5" w14:paraId="0C81B954"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2B880DAE"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1D8198DD"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0FD22929"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is narrowly specific to one habitat type or few, but threatened habitat types </w:t>
            </w:r>
          </w:p>
        </w:tc>
      </w:tr>
      <w:tr w:rsidR="006674C5" w:rsidRPr="006674C5" w14:paraId="5288095E"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67AF7E2A"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Regeneration </w:t>
            </w:r>
          </w:p>
        </w:tc>
      </w:tr>
      <w:tr w:rsidR="006674C5" w:rsidRPr="006674C5" w14:paraId="6E562E2E"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47DC3B82"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lastRenderedPageBreak/>
              <w:t xml:space="preserve">Low Risk </w:t>
            </w:r>
          </w:p>
        </w:tc>
        <w:tc>
          <w:tcPr>
            <w:tcW w:w="1667" w:type="pct"/>
          </w:tcPr>
          <w:p w14:paraId="66E3B454"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4889ED01"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is fast growing and/or easily re-sprouting after collection </w:t>
            </w:r>
          </w:p>
        </w:tc>
      </w:tr>
      <w:tr w:rsidR="006674C5" w:rsidRPr="006674C5" w14:paraId="15BE1133" w14:textId="77777777" w:rsidTr="00E86986">
        <w:trPr>
          <w:trHeight w:val="93"/>
        </w:trPr>
        <w:tc>
          <w:tcPr>
            <w:cnfStyle w:val="000010000000" w:firstRow="0" w:lastRow="0" w:firstColumn="0" w:lastColumn="0" w:oddVBand="1" w:evenVBand="0" w:oddHBand="0" w:evenHBand="0" w:firstRowFirstColumn="0" w:firstRowLastColumn="0" w:lastRowFirstColumn="0" w:lastRowLastColumn="0"/>
            <w:tcW w:w="1667" w:type="pct"/>
          </w:tcPr>
          <w:p w14:paraId="7B368D59"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76D98C3C"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12E5D236"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Growth rate medium and partly re-sprouting after collection </w:t>
            </w:r>
          </w:p>
        </w:tc>
      </w:tr>
      <w:tr w:rsidR="006674C5" w:rsidRPr="006674C5" w14:paraId="7154701A"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37A6921E"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0C405268"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1AA61A87"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is slow growing and/or not re-sprouting </w:t>
            </w:r>
          </w:p>
        </w:tc>
      </w:tr>
      <w:tr w:rsidR="006674C5" w:rsidRPr="006674C5" w14:paraId="51C78FB5" w14:textId="77777777" w:rsidTr="00E86986">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3"/>
          </w:tcPr>
          <w:p w14:paraId="4F5D8516"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Reproduction </w:t>
            </w:r>
          </w:p>
        </w:tc>
      </w:tr>
      <w:tr w:rsidR="006674C5" w:rsidRPr="006674C5" w14:paraId="7AB633F7" w14:textId="77777777" w:rsidTr="00E86986">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67" w:type="pct"/>
          </w:tcPr>
          <w:p w14:paraId="6FE0F01D"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Low Risk </w:t>
            </w:r>
          </w:p>
        </w:tc>
        <w:tc>
          <w:tcPr>
            <w:tcW w:w="1667" w:type="pct"/>
          </w:tcPr>
          <w:p w14:paraId="23686ED0"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1 </w:t>
            </w:r>
          </w:p>
        </w:tc>
        <w:tc>
          <w:tcPr>
            <w:cnfStyle w:val="000010000000" w:firstRow="0" w:lastRow="0" w:firstColumn="0" w:lastColumn="0" w:oddVBand="1" w:evenVBand="0" w:oddHBand="0" w:evenHBand="0" w:firstRowFirstColumn="0" w:firstRowLastColumn="0" w:lastRowFirstColumn="0" w:lastRowLastColumn="0"/>
            <w:tcW w:w="1667" w:type="pct"/>
          </w:tcPr>
          <w:p w14:paraId="786FF927"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reproduces asexually or is wind pollinated; many viable seeds with abiotic dispersal </w:t>
            </w:r>
          </w:p>
        </w:tc>
      </w:tr>
      <w:tr w:rsidR="006674C5" w:rsidRPr="006674C5" w14:paraId="12F3EA10" w14:textId="77777777" w:rsidTr="00E86986">
        <w:trPr>
          <w:trHeight w:val="187"/>
        </w:trPr>
        <w:tc>
          <w:tcPr>
            <w:cnfStyle w:val="000010000000" w:firstRow="0" w:lastRow="0" w:firstColumn="0" w:lastColumn="0" w:oddVBand="1" w:evenVBand="0" w:oddHBand="0" w:evenHBand="0" w:firstRowFirstColumn="0" w:firstRowLastColumn="0" w:lastRowFirstColumn="0" w:lastRowLastColumn="0"/>
            <w:tcW w:w="1667" w:type="pct"/>
          </w:tcPr>
          <w:p w14:paraId="3AF49307"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Medium Risk </w:t>
            </w:r>
          </w:p>
        </w:tc>
        <w:tc>
          <w:tcPr>
            <w:tcW w:w="1667" w:type="pct"/>
          </w:tcPr>
          <w:p w14:paraId="53B9369A" w14:textId="77777777" w:rsidR="006674C5" w:rsidRPr="006674C5" w:rsidRDefault="006674C5" w:rsidP="006674C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2 </w:t>
            </w:r>
          </w:p>
        </w:tc>
        <w:tc>
          <w:tcPr>
            <w:cnfStyle w:val="000010000000" w:firstRow="0" w:lastRow="0" w:firstColumn="0" w:lastColumn="0" w:oddVBand="1" w:evenVBand="0" w:oddHBand="0" w:evenHBand="0" w:firstRowFirstColumn="0" w:firstRowLastColumn="0" w:lastRowFirstColumn="0" w:lastRowLastColumn="0"/>
            <w:tcW w:w="1667" w:type="pct"/>
          </w:tcPr>
          <w:p w14:paraId="0370A198"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reproduces mainly sexually and has common pollinators; seed dispersal biotic with common dispersers </w:t>
            </w:r>
          </w:p>
        </w:tc>
      </w:tr>
      <w:tr w:rsidR="006674C5" w:rsidRPr="006674C5" w14:paraId="0B1107DD" w14:textId="77777777" w:rsidTr="00E86986">
        <w:trPr>
          <w:cnfStyle w:val="000000100000" w:firstRow="0" w:lastRow="0" w:firstColumn="0" w:lastColumn="0" w:oddVBand="0" w:evenVBand="0" w:oddHBand="1" w:evenHBand="0" w:firstRowFirstColumn="0" w:firstRowLastColumn="0" w:lastRowFirstColumn="0" w:lastRowLastColumn="0"/>
          <w:trHeight w:val="187"/>
        </w:trPr>
        <w:tc>
          <w:tcPr>
            <w:cnfStyle w:val="000010000000" w:firstRow="0" w:lastRow="0" w:firstColumn="0" w:lastColumn="0" w:oddVBand="1" w:evenVBand="0" w:oddHBand="0" w:evenHBand="0" w:firstRowFirstColumn="0" w:firstRowLastColumn="0" w:lastRowFirstColumn="0" w:lastRowLastColumn="0"/>
            <w:tcW w:w="1667" w:type="pct"/>
          </w:tcPr>
          <w:p w14:paraId="326710E0" w14:textId="77777777" w:rsidR="006674C5" w:rsidRPr="006674C5" w:rsidRDefault="006674C5" w:rsidP="006674C5">
            <w:pPr>
              <w:jc w:val="both"/>
              <w:rPr>
                <w:rFonts w:ascii="Palatino Linotype" w:hAnsi="Palatino Linotype" w:cs="Times New Roman"/>
                <w:sz w:val="21"/>
                <w:szCs w:val="21"/>
              </w:rPr>
            </w:pPr>
            <w:r w:rsidRPr="006674C5">
              <w:rPr>
                <w:rFonts w:ascii="Palatino Linotype" w:hAnsi="Palatino Linotype" w:cs="Times New Roman"/>
                <w:sz w:val="21"/>
                <w:szCs w:val="21"/>
              </w:rPr>
              <w:t xml:space="preserve">High Risk </w:t>
            </w:r>
          </w:p>
        </w:tc>
        <w:tc>
          <w:tcPr>
            <w:tcW w:w="1667" w:type="pct"/>
          </w:tcPr>
          <w:p w14:paraId="36FF2988" w14:textId="77777777" w:rsidR="006674C5" w:rsidRPr="006674C5" w:rsidRDefault="006674C5" w:rsidP="006674C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1"/>
                <w:szCs w:val="21"/>
              </w:rPr>
            </w:pPr>
            <w:r w:rsidRPr="006674C5">
              <w:rPr>
                <w:rFonts w:ascii="Palatino Linotype" w:hAnsi="Palatino Linotype" w:cs="Times New Roman"/>
                <w:sz w:val="21"/>
                <w:szCs w:val="21"/>
              </w:rPr>
              <w:t xml:space="preserve">3 </w:t>
            </w:r>
          </w:p>
        </w:tc>
        <w:tc>
          <w:tcPr>
            <w:cnfStyle w:val="000010000000" w:firstRow="0" w:lastRow="0" w:firstColumn="0" w:lastColumn="0" w:oddVBand="1" w:evenVBand="0" w:oddHBand="0" w:evenHBand="0" w:firstRowFirstColumn="0" w:firstRowLastColumn="0" w:lastRowFirstColumn="0" w:lastRowLastColumn="0"/>
            <w:tcW w:w="1667" w:type="pct"/>
          </w:tcPr>
          <w:p w14:paraId="75E91D2C" w14:textId="77777777" w:rsidR="006674C5" w:rsidRPr="006674C5" w:rsidRDefault="006674C5" w:rsidP="006674C5">
            <w:pPr>
              <w:rPr>
                <w:rFonts w:ascii="Palatino Linotype" w:hAnsi="Palatino Linotype" w:cs="Times New Roman"/>
                <w:sz w:val="21"/>
                <w:szCs w:val="21"/>
              </w:rPr>
            </w:pPr>
            <w:r w:rsidRPr="006674C5">
              <w:rPr>
                <w:rFonts w:ascii="Palatino Linotype" w:hAnsi="Palatino Linotype" w:cs="Times New Roman"/>
                <w:sz w:val="21"/>
                <w:szCs w:val="21"/>
              </w:rPr>
              <w:t xml:space="preserve">Species is dioecious or has monocarpic apical meristem; adapted to specialised pollinators and/or seed dispersers; produces only few viable seeds. </w:t>
            </w:r>
          </w:p>
        </w:tc>
      </w:tr>
    </w:tbl>
    <w:p w14:paraId="06D2C480" w14:textId="77777777" w:rsidR="006A35F2" w:rsidRDefault="006A35F2"/>
    <w:sectPr w:rsidR="006A3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361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7564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C5"/>
    <w:rsid w:val="00240ABF"/>
    <w:rsid w:val="002E7CAB"/>
    <w:rsid w:val="004F26E0"/>
    <w:rsid w:val="005B535A"/>
    <w:rsid w:val="00666324"/>
    <w:rsid w:val="006674C5"/>
    <w:rsid w:val="006A35F2"/>
    <w:rsid w:val="00740478"/>
    <w:rsid w:val="008A7FEF"/>
    <w:rsid w:val="00B033D3"/>
    <w:rsid w:val="00BC1C1A"/>
    <w:rsid w:val="00C2066F"/>
    <w:rsid w:val="00EF60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9934"/>
  <w15:chartTrackingRefBased/>
  <w15:docId w15:val="{2E56AF39-6EAC-46B6-BC00-76840C9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4C5"/>
    <w:rPr>
      <w:rFonts w:eastAsiaTheme="majorEastAsia" w:cstheme="majorBidi"/>
      <w:color w:val="272727" w:themeColor="text1" w:themeTint="D8"/>
    </w:rPr>
  </w:style>
  <w:style w:type="paragraph" w:styleId="Title">
    <w:name w:val="Title"/>
    <w:basedOn w:val="Normal"/>
    <w:next w:val="Normal"/>
    <w:link w:val="TitleChar"/>
    <w:uiPriority w:val="10"/>
    <w:qFormat/>
    <w:rsid w:val="00667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4C5"/>
    <w:pPr>
      <w:spacing w:before="160"/>
      <w:jc w:val="center"/>
    </w:pPr>
    <w:rPr>
      <w:i/>
      <w:iCs/>
      <w:color w:val="404040" w:themeColor="text1" w:themeTint="BF"/>
    </w:rPr>
  </w:style>
  <w:style w:type="character" w:customStyle="1" w:styleId="QuoteChar">
    <w:name w:val="Quote Char"/>
    <w:basedOn w:val="DefaultParagraphFont"/>
    <w:link w:val="Quote"/>
    <w:uiPriority w:val="29"/>
    <w:rsid w:val="006674C5"/>
    <w:rPr>
      <w:i/>
      <w:iCs/>
      <w:color w:val="404040" w:themeColor="text1" w:themeTint="BF"/>
    </w:rPr>
  </w:style>
  <w:style w:type="paragraph" w:styleId="ListParagraph">
    <w:name w:val="List Paragraph"/>
    <w:basedOn w:val="Normal"/>
    <w:uiPriority w:val="34"/>
    <w:qFormat/>
    <w:rsid w:val="006674C5"/>
    <w:pPr>
      <w:ind w:left="720"/>
      <w:contextualSpacing/>
    </w:pPr>
  </w:style>
  <w:style w:type="character" w:styleId="IntenseEmphasis">
    <w:name w:val="Intense Emphasis"/>
    <w:basedOn w:val="DefaultParagraphFont"/>
    <w:uiPriority w:val="21"/>
    <w:qFormat/>
    <w:rsid w:val="006674C5"/>
    <w:rPr>
      <w:i/>
      <w:iCs/>
      <w:color w:val="0F4761" w:themeColor="accent1" w:themeShade="BF"/>
    </w:rPr>
  </w:style>
  <w:style w:type="paragraph" w:styleId="IntenseQuote">
    <w:name w:val="Intense Quote"/>
    <w:basedOn w:val="Normal"/>
    <w:next w:val="Normal"/>
    <w:link w:val="IntenseQuoteChar"/>
    <w:uiPriority w:val="30"/>
    <w:qFormat/>
    <w:rsid w:val="00667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4C5"/>
    <w:rPr>
      <w:i/>
      <w:iCs/>
      <w:color w:val="0F4761" w:themeColor="accent1" w:themeShade="BF"/>
    </w:rPr>
  </w:style>
  <w:style w:type="character" w:styleId="IntenseReference">
    <w:name w:val="Intense Reference"/>
    <w:basedOn w:val="DefaultParagraphFont"/>
    <w:uiPriority w:val="32"/>
    <w:qFormat/>
    <w:rsid w:val="006674C5"/>
    <w:rPr>
      <w:b/>
      <w:bCs/>
      <w:smallCaps/>
      <w:color w:val="0F4761" w:themeColor="accent1" w:themeShade="BF"/>
      <w:spacing w:val="5"/>
    </w:rPr>
  </w:style>
  <w:style w:type="table" w:customStyle="1" w:styleId="PlainTable11">
    <w:name w:val="Plain Table 11"/>
    <w:basedOn w:val="TableNormal"/>
    <w:next w:val="PlainTable1"/>
    <w:uiPriority w:val="41"/>
    <w:rsid w:val="006674C5"/>
    <w:pPr>
      <w:spacing w:after="0" w:line="240" w:lineRule="auto"/>
    </w:pPr>
    <w:rPr>
      <w:rFonts w:eastAsia="DengXi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674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2e1749-8856-45c1-bc82-af3417ad3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B751A44AB0E4795A319411B57C00D" ma:contentTypeVersion="17" ma:contentTypeDescription="Create a new document." ma:contentTypeScope="" ma:versionID="660a9546b3498adb34000c5a5ec94be0">
  <xsd:schema xmlns:xsd="http://www.w3.org/2001/XMLSchema" xmlns:xs="http://www.w3.org/2001/XMLSchema" xmlns:p="http://schemas.microsoft.com/office/2006/metadata/properties" xmlns:ns3="2e2e1749-8856-45c1-bc82-af3417ad390f" xmlns:ns4="01f40de6-a469-4109-a5fe-2bdd0d20a169" targetNamespace="http://schemas.microsoft.com/office/2006/metadata/properties" ma:root="true" ma:fieldsID="1cadca95ba9adae5347eeae438b9e609" ns3:_="" ns4:_="">
    <xsd:import namespace="2e2e1749-8856-45c1-bc82-af3417ad390f"/>
    <xsd:import namespace="01f40de6-a469-4109-a5fe-2bdd0d20a1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1749-8856-45c1-bc82-af3417ad3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0de6-a469-4109-a5fe-2bdd0d20a1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BAF7D-A291-4072-AB9B-3D1820A297BD}">
  <ds:schemaRefs>
    <ds:schemaRef ds:uri="01f40de6-a469-4109-a5fe-2bdd0d20a169"/>
    <ds:schemaRef ds:uri="http://purl.org/dc/terms/"/>
    <ds:schemaRef ds:uri="http://schemas.openxmlformats.org/package/2006/metadata/core-properties"/>
    <ds:schemaRef ds:uri="http://schemas.microsoft.com/office/2006/documentManagement/types"/>
    <ds:schemaRef ds:uri="http://www.w3.org/XML/1998/namespace"/>
    <ds:schemaRef ds:uri="2e2e1749-8856-45c1-bc82-af3417ad390f"/>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040829D-DD4C-4FC7-A152-9918E5CECBD0}">
  <ds:schemaRefs>
    <ds:schemaRef ds:uri="http://schemas.microsoft.com/sharepoint/v3/contenttype/forms"/>
  </ds:schemaRefs>
</ds:datastoreItem>
</file>

<file path=customXml/itemProps3.xml><?xml version="1.0" encoding="utf-8"?>
<ds:datastoreItem xmlns:ds="http://schemas.openxmlformats.org/officeDocument/2006/customXml" ds:itemID="{74F687CE-FD70-44BE-9327-8842C5CB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1749-8856-45c1-bc82-af3417ad390f"/>
    <ds:schemaRef ds:uri="01f40de6-a469-4109-a5fe-2bdd0d20a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9003</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Harris</dc:creator>
  <cp:keywords/>
  <dc:description/>
  <cp:lastModifiedBy>Suzanne Duffy</cp:lastModifiedBy>
  <cp:revision>2</cp:revision>
  <dcterms:created xsi:type="dcterms:W3CDTF">2024-10-07T10:14:00Z</dcterms:created>
  <dcterms:modified xsi:type="dcterms:W3CDTF">2024-10-07T10:14:00Z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0x010100677B751A44AB0E4795A319411B57C00D</vt:lpwstr>
  </property>
</Properties>
</file>